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364A1780">
      <w:pPr>
        <w:jc w:val="center"/>
        <w:rPr>
          <w:rFonts w:hint="eastAsia" w:eastAsia="宋体"/>
          <w:b/>
          <w:bCs/>
          <w:color w:val="auto"/>
          <w:sz w:val="56"/>
          <w:szCs w:val="56"/>
          <w:highlight w:val="none"/>
          <w:lang w:eastAsia="zh-CN"/>
        </w:rPr>
      </w:pPr>
      <w:r>
        <w:rPr>
          <w:rFonts w:hint="eastAsia"/>
          <w:b/>
          <w:bCs/>
          <w:color w:val="auto"/>
          <w:sz w:val="56"/>
          <w:szCs w:val="56"/>
          <w:highlight w:val="none"/>
          <w:lang w:eastAsia="zh-CN"/>
        </w:rPr>
        <w:t>江苏省横林高级中学2025-2028年保安、舍管服务项目</w:t>
      </w:r>
    </w:p>
    <w:p w14:paraId="19799DE8">
      <w:pPr>
        <w:jc w:val="center"/>
        <w:rPr>
          <w:b/>
          <w:bCs/>
          <w:color w:val="auto"/>
          <w:sz w:val="60"/>
          <w:szCs w:val="60"/>
          <w:highlight w:val="none"/>
        </w:rPr>
      </w:pP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江苏省横林高级中学2025-2028年保安、舍管服务项目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JSZC-320412-SYZB-G2025-0127</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江苏省横林高级中学</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3"/>
        <w:spacing w:line="360" w:lineRule="auto"/>
        <w:rPr>
          <w:b w:val="0"/>
          <w:bCs/>
          <w:color w:val="auto"/>
          <w:sz w:val="44"/>
          <w:highlight w:val="none"/>
        </w:rPr>
      </w:pPr>
    </w:p>
    <w:p w14:paraId="036DD580">
      <w:pPr>
        <w:pStyle w:val="33"/>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25</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3"/>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3"/>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3"/>
        <w:spacing w:line="360" w:lineRule="auto"/>
        <w:jc w:val="center"/>
        <w:rPr>
          <w:color w:val="auto"/>
          <w:sz w:val="36"/>
          <w:szCs w:val="36"/>
          <w:highlight w:val="none"/>
        </w:rPr>
      </w:pPr>
      <w:r>
        <w:rPr>
          <w:rFonts w:hint="eastAsia" w:cs="宋体"/>
          <w:color w:val="auto"/>
          <w:sz w:val="32"/>
          <w:szCs w:val="32"/>
          <w:highlight w:val="none"/>
        </w:rPr>
        <w:br w:type="page"/>
      </w:r>
      <w:bookmarkStart w:id="1" w:name="_Toc15932"/>
      <w:bookmarkStart w:id="2" w:name="_Toc99301419"/>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35393790"/>
      <w:bookmarkStart w:id="4" w:name="_Toc28359079"/>
      <w:bookmarkStart w:id="5" w:name="_Toc35393621"/>
      <w:bookmarkStart w:id="6" w:name="_Toc28359002"/>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JSZC-320412-SYZB-G2025-0127</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江苏省横林高级中学2025-2028年保安、舍管服务项目</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246</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82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105"/>
        <w:gridCol w:w="845"/>
        <w:gridCol w:w="4764"/>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江苏省横林高级中学2025-2028年保安、舍管服务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246</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653D3CC">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服务内容包括负责学院的安全保卫工作，维护校园秩序，对重点部位及责任区域定点守护和安全巡查，发现和消除安全隐患，</w:t>
            </w:r>
            <w:r>
              <w:rPr>
                <w:rFonts w:hint="eastAsia" w:ascii="宋体" w:hAnsi="宋体" w:cs="宋体"/>
                <w:color w:val="auto"/>
                <w:sz w:val="24"/>
                <w:szCs w:val="24"/>
                <w:highlight w:val="none"/>
                <w:lang w:val="en-US" w:eastAsia="zh-CN"/>
              </w:rPr>
              <w:t>负责</w:t>
            </w:r>
            <w:r>
              <w:rPr>
                <w:rFonts w:hint="eastAsia" w:ascii="宋体" w:hAnsi="宋体" w:cs="宋体"/>
                <w:color w:val="auto"/>
                <w:sz w:val="24"/>
                <w:szCs w:val="24"/>
                <w:highlight w:val="none"/>
                <w:lang w:eastAsia="zh-CN"/>
              </w:rPr>
              <w:t>学校的宿舍管理服务。</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cs="宋体"/>
          <w:color w:val="auto"/>
          <w:sz w:val="24"/>
          <w:highlight w:val="none"/>
          <w:u w:val="single"/>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28359080"/>
      <w:bookmarkStart w:id="9" w:name="_Toc35393622"/>
      <w:bookmarkStart w:id="10" w:name="_Toc35393791"/>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81"/>
      <w:bookmarkStart w:id="13" w:name="_Toc28359004"/>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投标人具有有效的公安部门审批颁发的有效的《保安服务许可证》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bookmarkEnd w:id="12"/>
    <w:bookmarkEnd w:id="13"/>
    <w:p w14:paraId="0DC5F48E">
      <w:pPr>
        <w:snapToGrid w:val="0"/>
        <w:spacing w:line="360" w:lineRule="auto"/>
        <w:rPr>
          <w:rFonts w:ascii="宋体" w:hAnsi="宋体"/>
          <w:b/>
          <w:bCs/>
          <w:color w:val="auto"/>
          <w:sz w:val="24"/>
          <w:highlight w:val="none"/>
        </w:rPr>
      </w:pPr>
      <w:bookmarkStart w:id="14" w:name="_Toc35393792"/>
      <w:bookmarkStart w:id="15" w:name="_Toc35393623"/>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82"/>
      <w:bookmarkStart w:id="17" w:name="_Toc28359005"/>
      <w:bookmarkStart w:id="18" w:name="_Toc35393624"/>
      <w:bookmarkStart w:id="19" w:name="_Toc35393793"/>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2025</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12</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9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625"/>
      <w:bookmarkStart w:id="21" w:name="_Toc35393794"/>
      <w:bookmarkStart w:id="22" w:name="_Toc28359007"/>
      <w:bookmarkStart w:id="23" w:name="_Toc28359084"/>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35393796"/>
      <w:bookmarkStart w:id="27" w:name="_Toc28359008"/>
      <w:bookmarkStart w:id="28" w:name="_Toc28359085"/>
      <w:bookmarkStart w:id="29" w:name="_Toc35393627"/>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1D956CB3">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246 </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 xml:space="preserve"> 82 </w:t>
      </w:r>
      <w:r>
        <w:rPr>
          <w:rFonts w:hint="eastAsia" w:ascii="宋体" w:hAnsi="宋体" w:cs="宋体"/>
          <w:color w:val="auto"/>
          <w:sz w:val="24"/>
          <w:highlight w:val="none"/>
          <w:lang w:val="en-US" w:eastAsia="zh-CN"/>
        </w:rPr>
        <w:t>万元。</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.本项目采用远程“不见面”交易方式，无需到现场提交，请投标供应商在提交时间截止前提前登入“苏采云”，通过系统在线提交电子投标文件。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供应商，视为未参与该项政府采购活动，不具备对该政府采购项目提出质疑的法定权利，但因</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供应商资格条件或报名时间设定不符合有关法律法规规定等原因使</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bidi="ar"/>
        </w:rPr>
        <w:t>投标</w:t>
      </w:r>
      <w:r>
        <w:rPr>
          <w:rFonts w:hint="eastAsia" w:ascii="宋体" w:hAnsi="宋体" w:cs="宋体"/>
          <w:color w:val="auto"/>
          <w:sz w:val="24"/>
          <w:highlight w:val="none"/>
        </w:rPr>
        <w:t>供应商未按上述要求操作，将自行承担所产生的风险。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264969275"/>
      <w:bookmarkStart w:id="31" w:name="_Toc195842950"/>
      <w:bookmarkStart w:id="32" w:name="_Toc512937850"/>
      <w:bookmarkStart w:id="33" w:name="_Toc127151777"/>
      <w:bookmarkStart w:id="34" w:name="_Toc305158854"/>
      <w:bookmarkStart w:id="35" w:name="_Toc305158928"/>
      <w:bookmarkStart w:id="36" w:name="_Toc353873938"/>
      <w:bookmarkStart w:id="37" w:name="_Toc127161488"/>
      <w:bookmarkStart w:id="38" w:name="_Toc99301420"/>
      <w:bookmarkStart w:id="39" w:name="_Toc150774783"/>
      <w:bookmarkStart w:id="40" w:name="_Toc265228423"/>
      <w:bookmarkStart w:id="41" w:name="_Toc353825548"/>
      <w:bookmarkStart w:id="42" w:name="_Toc226965856"/>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江苏省横林高级中学</w:t>
      </w:r>
      <w:r>
        <w:rPr>
          <w:rFonts w:hint="eastAsia" w:ascii="宋体" w:hAnsi="宋体" w:cs="宋体"/>
          <w:color w:val="auto"/>
          <w:sz w:val="24"/>
          <w:highlight w:val="none"/>
          <w:u w:val="single"/>
          <w:lang w:bidi="ar"/>
        </w:rPr>
        <w:t xml:space="preserve"> </w:t>
      </w:r>
    </w:p>
    <w:p w14:paraId="25C88FA9">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常州市武进区横林镇花苑路1号 </w:t>
      </w:r>
    </w:p>
    <w:p w14:paraId="047B8F94">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王先生、0519-88725008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王涛</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0519-88818292-（8000）</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51193617"/>
      <w:bookmarkStart w:id="45" w:name="_Toc127151519"/>
      <w:bookmarkStart w:id="46" w:name="_Toc151190146"/>
      <w:bookmarkStart w:id="47" w:name="_Toc164351613"/>
      <w:bookmarkStart w:id="48" w:name="_Toc150480757"/>
      <w:bookmarkStart w:id="49" w:name="_Toc150774619"/>
      <w:bookmarkStart w:id="50" w:name="_Toc226309763"/>
      <w:bookmarkStart w:id="51" w:name="_Toc195842884"/>
      <w:bookmarkStart w:id="52" w:name="_Toc151193689"/>
      <w:bookmarkStart w:id="53" w:name="_Toc164608788"/>
      <w:bookmarkStart w:id="54" w:name="_Toc142311021"/>
      <w:bookmarkStart w:id="55" w:name="_Toc164229214"/>
      <w:bookmarkStart w:id="56" w:name="_Toc520356144"/>
      <w:bookmarkStart w:id="57" w:name="_Toc151193761"/>
      <w:bookmarkStart w:id="58" w:name="_Toc150774724"/>
      <w:bookmarkStart w:id="59" w:name="_Toc226337215"/>
      <w:bookmarkStart w:id="60" w:name="_Toc127161433"/>
      <w:bookmarkStart w:id="61" w:name="_Toc226965709"/>
      <w:bookmarkStart w:id="62" w:name="_Toc164229360"/>
      <w:bookmarkStart w:id="63" w:name="_Toc150509270"/>
      <w:bookmarkStart w:id="64" w:name="_Toc149720812"/>
      <w:bookmarkStart w:id="65" w:name="_Toc164608633"/>
      <w:bookmarkStart w:id="66" w:name="_Toc226965792"/>
      <w:bookmarkStart w:id="67" w:name="_Toc127151720"/>
      <w:bookmarkStart w:id="68" w:name="_Toc151193833"/>
      <w:bookmarkStart w:id="69" w:name="_Toc151193907"/>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5"/>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租赁和商务服务</w:t>
            </w:r>
            <w:r>
              <w:rPr>
                <w:rFonts w:hint="eastAsia" w:ascii="宋体" w:hAnsi="宋体" w:cs="宋体"/>
                <w:b/>
                <w:bCs/>
                <w:color w:val="auto"/>
                <w:kern w:val="0"/>
                <w:sz w:val="24"/>
                <w:highlight w:val="none"/>
                <w:u w:val="single"/>
                <w:lang w:bidi="ar"/>
              </w:rPr>
              <w:t>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2025</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11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 xml:space="preserve">26 </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王涛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0519-88818292-（8000）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ascii="宋体" w:hAnsi="宋体" w:cs="宋体"/>
                <w:color w:val="auto"/>
                <w:sz w:val="24"/>
                <w:highlight w:val="none"/>
              </w:rPr>
            </w:pPr>
            <w:r>
              <w:rPr>
                <w:rFonts w:hint="eastAsia" w:ascii="宋体" w:hAnsi="宋体" w:cs="宋体"/>
                <w:color w:val="auto"/>
                <w:sz w:val="24"/>
                <w:highlight w:val="none"/>
              </w:rPr>
              <w:t>■中标供应商</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cs="宋体"/>
                <w:color w:val="auto"/>
                <w:sz w:val="24"/>
                <w:szCs w:val="24"/>
                <w:highlight w:val="none"/>
                <w:u w:val="single"/>
                <w:shd w:val="clear" w:color="auto" w:fill="auto"/>
                <w:lang w:val="en-US" w:eastAsia="zh-CN"/>
              </w:rPr>
              <w:t>的100%</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中标供应商应在领取中标通知书时将中标服务费付至采购代理机构的账户并备注项目编号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64185924">
            <w:pPr>
              <w:jc w:val="left"/>
              <w:rPr>
                <w:rFonts w:ascii="宋体" w:hAnsi="宋体" w:cs="宋体"/>
                <w:color w:val="auto"/>
                <w:sz w:val="24"/>
                <w:highlight w:val="none"/>
              </w:rPr>
            </w:pPr>
            <w:r>
              <w:rPr>
                <w:rFonts w:hint="eastAsia" w:ascii="宋体" w:hAnsi="宋体" w:cs="宋体"/>
                <w:color w:val="auto"/>
                <w:sz w:val="24"/>
                <w:highlight w:val="none"/>
                <w:u w:val="single"/>
              </w:rPr>
              <w:t>开户银行：兴业银行股份有限公司常州分行</w:t>
            </w:r>
          </w:p>
        </w:tc>
      </w:tr>
    </w:tbl>
    <w:p w14:paraId="131671AA">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353873662"/>
      <w:bookmarkStart w:id="71" w:name="_Toc195842882"/>
      <w:bookmarkStart w:id="72" w:name="_Toc353825542"/>
      <w:bookmarkStart w:id="73" w:name="_Toc226337213"/>
      <w:bookmarkStart w:id="74" w:name="_Toc142311019"/>
      <w:bookmarkStart w:id="75" w:name="_Toc150480755"/>
      <w:bookmarkStart w:id="76" w:name="_Toc127151517"/>
      <w:bookmarkStart w:id="77" w:name="_Toc305158785"/>
      <w:bookmarkStart w:id="78" w:name="_Toc264969207"/>
      <w:bookmarkStart w:id="79" w:name="_Toc353873932"/>
      <w:bookmarkStart w:id="80" w:name="_Toc150774722"/>
      <w:bookmarkStart w:id="81" w:name="_Toc305158859"/>
      <w:bookmarkStart w:id="82" w:name="_Toc265228355"/>
      <w:bookmarkStart w:id="83" w:name="_Toc226965790"/>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305158860"/>
      <w:bookmarkStart w:id="85" w:name="_Toc150774618"/>
      <w:bookmarkStart w:id="86" w:name="_Toc305158786"/>
      <w:bookmarkStart w:id="87" w:name="_Toc127151518"/>
      <w:bookmarkStart w:id="88" w:name="_Toc150480756"/>
      <w:bookmarkStart w:id="89" w:name="_Toc265228356"/>
      <w:bookmarkStart w:id="90" w:name="_Toc142311020"/>
      <w:bookmarkStart w:id="91" w:name="_Toc151193760"/>
      <w:bookmarkStart w:id="92" w:name="_Toc226309762"/>
      <w:bookmarkStart w:id="93" w:name="_Toc264969208"/>
      <w:bookmarkStart w:id="94" w:name="_Toc226965791"/>
      <w:bookmarkStart w:id="95" w:name="_Toc150774723"/>
      <w:bookmarkStart w:id="96" w:name="_Toc151193616"/>
      <w:bookmarkStart w:id="97" w:name="_Toc151193832"/>
      <w:bookmarkStart w:id="98" w:name="_Toc226965708"/>
      <w:bookmarkStart w:id="99" w:name="_Toc195842883"/>
      <w:bookmarkStart w:id="100" w:name="_Toc520356143"/>
      <w:bookmarkStart w:id="101" w:name="_Toc226337214"/>
      <w:bookmarkStart w:id="102" w:name="_Toc151193906"/>
      <w:bookmarkStart w:id="103" w:name="_Toc150509269"/>
      <w:bookmarkStart w:id="104" w:name="_Toc151193688"/>
      <w:bookmarkStart w:id="105" w:name="_Toc151190145"/>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861"/>
      <w:bookmarkStart w:id="107" w:name="_Toc264969209"/>
      <w:bookmarkStart w:id="108" w:name="_Toc305158787"/>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264969210"/>
      <w:bookmarkStart w:id="111" w:name="_Toc149720813"/>
      <w:bookmarkStart w:id="112" w:name="_Toc127151721"/>
      <w:bookmarkStart w:id="113" w:name="_Toc164229361"/>
      <w:bookmarkStart w:id="114" w:name="_Toc151193834"/>
      <w:bookmarkStart w:id="115" w:name="_Toc127151520"/>
      <w:bookmarkStart w:id="116" w:name="_Toc150480758"/>
      <w:bookmarkStart w:id="117" w:name="_Toc226309764"/>
      <w:bookmarkStart w:id="118" w:name="_Toc151193690"/>
      <w:bookmarkStart w:id="119" w:name="_Toc150774725"/>
      <w:bookmarkStart w:id="120" w:name="_Toc226337216"/>
      <w:bookmarkStart w:id="121" w:name="_Toc151193908"/>
      <w:bookmarkStart w:id="122" w:name="_Toc164608789"/>
      <w:bookmarkStart w:id="123" w:name="_Toc151193618"/>
      <w:bookmarkStart w:id="124" w:name="_Toc164351614"/>
      <w:bookmarkStart w:id="125" w:name="_Toc195842885"/>
      <w:bookmarkStart w:id="126" w:name="_Toc305158788"/>
      <w:bookmarkStart w:id="127" w:name="_Toc150774620"/>
      <w:bookmarkStart w:id="128" w:name="_Toc265228358"/>
      <w:bookmarkStart w:id="129" w:name="_Toc226965710"/>
      <w:bookmarkStart w:id="130" w:name="_Toc151190147"/>
      <w:bookmarkStart w:id="131" w:name="_Toc127161434"/>
      <w:bookmarkStart w:id="132" w:name="_Toc305158862"/>
      <w:bookmarkStart w:id="133" w:name="_Toc164608634"/>
      <w:bookmarkStart w:id="134" w:name="_Toc142311022"/>
      <w:bookmarkStart w:id="135" w:name="_Toc150509271"/>
      <w:bookmarkStart w:id="136" w:name="_Toc164229215"/>
      <w:bookmarkStart w:id="137" w:name="_Toc151193762"/>
      <w:bookmarkStart w:id="138" w:name="_Toc226965793"/>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3910"/>
      <w:bookmarkStart w:id="140" w:name="_Toc195842887"/>
      <w:bookmarkStart w:id="141" w:name="_Toc151190149"/>
      <w:bookmarkStart w:id="142" w:name="_Toc150480760"/>
      <w:bookmarkStart w:id="143" w:name="_Toc226965795"/>
      <w:bookmarkStart w:id="144" w:name="_Toc305158790"/>
      <w:bookmarkStart w:id="145" w:name="_Toc150774727"/>
      <w:bookmarkStart w:id="146" w:name="_Toc150774622"/>
      <w:bookmarkStart w:id="147" w:name="_Toc226965712"/>
      <w:bookmarkStart w:id="148" w:name="_Toc127151522"/>
      <w:bookmarkStart w:id="149" w:name="_Toc150509273"/>
      <w:bookmarkStart w:id="150" w:name="_Toc265228360"/>
      <w:bookmarkStart w:id="151" w:name="_Toc226309766"/>
      <w:bookmarkStart w:id="152" w:name="_Toc151193764"/>
      <w:bookmarkStart w:id="153" w:name="_Toc520356146"/>
      <w:bookmarkStart w:id="154" w:name="_Toc151193620"/>
      <w:bookmarkStart w:id="155" w:name="_Toc142311024"/>
      <w:bookmarkStart w:id="156" w:name="_Toc264969212"/>
      <w:bookmarkStart w:id="157" w:name="_Toc151193692"/>
      <w:bookmarkStart w:id="158" w:name="_Toc305158864"/>
      <w:bookmarkStart w:id="159" w:name="_Toc226337218"/>
      <w:bookmarkStart w:id="160" w:name="_Toc151193836"/>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3"/>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3"/>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3"/>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95842888"/>
      <w:bookmarkStart w:id="163" w:name="_Toc305158865"/>
      <w:bookmarkStart w:id="164" w:name="_Toc265228361"/>
      <w:bookmarkStart w:id="165" w:name="_Toc149720816"/>
      <w:bookmarkStart w:id="166" w:name="_Toc150774728"/>
      <w:bookmarkStart w:id="167" w:name="_Toc164229218"/>
      <w:bookmarkStart w:id="168" w:name="_Toc151193621"/>
      <w:bookmarkStart w:id="169" w:name="_Toc520356147"/>
      <w:bookmarkStart w:id="170" w:name="_Toc151193911"/>
      <w:bookmarkStart w:id="171" w:name="_Toc150774623"/>
      <w:bookmarkStart w:id="172" w:name="_Toc151193693"/>
      <w:bookmarkStart w:id="173" w:name="_Toc164608792"/>
      <w:bookmarkStart w:id="174" w:name="_Toc226965796"/>
      <w:bookmarkStart w:id="175" w:name="_Toc305158791"/>
      <w:bookmarkStart w:id="176" w:name="_Toc127151523"/>
      <w:bookmarkStart w:id="177" w:name="_Toc264969213"/>
      <w:bookmarkStart w:id="178" w:name="_Toc151193765"/>
      <w:bookmarkStart w:id="179" w:name="_Toc151190150"/>
      <w:bookmarkStart w:id="180" w:name="_Toc164229364"/>
      <w:bookmarkStart w:id="181" w:name="_Toc164351617"/>
      <w:bookmarkStart w:id="182" w:name="_Toc226965713"/>
      <w:bookmarkStart w:id="183" w:name="_Toc226309767"/>
      <w:bookmarkStart w:id="184" w:name="_Toc142311025"/>
      <w:bookmarkStart w:id="185" w:name="_Toc150480761"/>
      <w:bookmarkStart w:id="186" w:name="_Toc150509274"/>
      <w:bookmarkStart w:id="187" w:name="_Toc127161437"/>
      <w:bookmarkStart w:id="188" w:name="_Toc164608637"/>
      <w:bookmarkStart w:id="189" w:name="_Toc226337219"/>
      <w:bookmarkStart w:id="190" w:name="_Toc151193837"/>
      <w:bookmarkStart w:id="191" w:name="_Toc127151724"/>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50509277"/>
      <w:bookmarkStart w:id="194" w:name="_Toc195842891"/>
      <w:bookmarkStart w:id="195" w:name="_Toc151193914"/>
      <w:bookmarkStart w:id="196" w:name="_Toc151193696"/>
      <w:bookmarkStart w:id="197" w:name="_Toc265228364"/>
      <w:bookmarkStart w:id="198" w:name="_Toc150480764"/>
      <w:bookmarkStart w:id="199" w:name="_Toc150774731"/>
      <w:bookmarkStart w:id="200" w:name="_Toc264969216"/>
      <w:bookmarkStart w:id="201" w:name="_Toc127151526"/>
      <w:bookmarkStart w:id="202" w:name="_Toc226965716"/>
      <w:bookmarkStart w:id="203" w:name="_Toc226337222"/>
      <w:bookmarkStart w:id="204" w:name="_Toc150774626"/>
      <w:bookmarkStart w:id="205" w:name="_Toc142311028"/>
      <w:bookmarkStart w:id="206" w:name="_Toc151190153"/>
      <w:bookmarkStart w:id="207" w:name="_Toc151193768"/>
      <w:bookmarkStart w:id="208" w:name="_Toc305158868"/>
      <w:bookmarkStart w:id="209" w:name="_Toc151193624"/>
      <w:bookmarkStart w:id="210" w:name="_Toc226309770"/>
      <w:bookmarkStart w:id="211" w:name="_Toc520356150"/>
      <w:bookmarkStart w:id="212" w:name="_Toc151193840"/>
      <w:bookmarkStart w:id="213" w:name="_Toc226965799"/>
      <w:bookmarkStart w:id="214" w:name="_Toc305158794"/>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95842892"/>
      <w:bookmarkStart w:id="216" w:name="_Toc142311029"/>
      <w:bookmarkStart w:id="217" w:name="_Toc164229222"/>
      <w:bookmarkStart w:id="218" w:name="_Toc127151527"/>
      <w:bookmarkStart w:id="219" w:name="_Toc127161441"/>
      <w:bookmarkStart w:id="220" w:name="_Toc151193697"/>
      <w:bookmarkStart w:id="221" w:name="_Toc127151728"/>
      <w:bookmarkStart w:id="222" w:name="_Toc226309771"/>
      <w:bookmarkStart w:id="223" w:name="_Toc226337223"/>
      <w:bookmarkStart w:id="224" w:name="_Toc151193769"/>
      <w:bookmarkStart w:id="225" w:name="_Toc164351621"/>
      <w:bookmarkStart w:id="226" w:name="_Toc150774627"/>
      <w:bookmarkStart w:id="227" w:name="_Toc151190154"/>
      <w:bookmarkStart w:id="228" w:name="_Toc520356151"/>
      <w:bookmarkStart w:id="229" w:name="_Toc516367021"/>
      <w:bookmarkStart w:id="230" w:name="_Toc150509278"/>
      <w:bookmarkStart w:id="231" w:name="_Toc150480765"/>
      <w:bookmarkStart w:id="232" w:name="_Toc264969217"/>
      <w:bookmarkStart w:id="233" w:name="_Toc265228365"/>
      <w:bookmarkStart w:id="234" w:name="_Toc305158869"/>
      <w:bookmarkStart w:id="235" w:name="_Toc150774732"/>
      <w:bookmarkStart w:id="236" w:name="_Toc151193625"/>
      <w:bookmarkStart w:id="237" w:name="_Toc305158795"/>
      <w:bookmarkStart w:id="238" w:name="_Toc164229368"/>
      <w:bookmarkStart w:id="239" w:name="_Toc151193915"/>
      <w:bookmarkStart w:id="240" w:name="_Toc164608641"/>
      <w:bookmarkStart w:id="241" w:name="_Toc149720820"/>
      <w:bookmarkStart w:id="242" w:name="_Toc164608796"/>
      <w:bookmarkStart w:id="243" w:name="_Toc226965800"/>
      <w:bookmarkStart w:id="244" w:name="_Toc151193841"/>
      <w:bookmarkStart w:id="245" w:name="_Toc226965717"/>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195"/>
      <w:bookmarkStart w:id="247" w:name="_Toc516367022"/>
      <w:bookmarkStart w:id="248" w:name="_Ref467306676"/>
      <w:bookmarkStart w:id="249" w:name="_Toc151193916"/>
      <w:bookmarkStart w:id="250" w:name="_Toc127161442"/>
      <w:bookmarkStart w:id="251" w:name="_Toc151193626"/>
      <w:bookmarkStart w:id="252" w:name="_Toc264969218"/>
      <w:bookmarkStart w:id="253" w:name="_Toc164608642"/>
      <w:bookmarkStart w:id="254" w:name="_Toc164608797"/>
      <w:bookmarkStart w:id="255" w:name="_Toc226965718"/>
      <w:bookmarkStart w:id="256" w:name="_Toc226965801"/>
      <w:bookmarkStart w:id="257" w:name="_Toc305158796"/>
      <w:bookmarkStart w:id="258" w:name="_Toc265228366"/>
      <w:bookmarkStart w:id="259" w:name="_Toc226337224"/>
      <w:bookmarkStart w:id="260" w:name="_Toc520356152"/>
      <w:bookmarkStart w:id="261" w:name="_Toc149720821"/>
      <w:bookmarkStart w:id="262" w:name="_Toc164229223"/>
      <w:bookmarkStart w:id="263" w:name="_Toc164229369"/>
      <w:bookmarkStart w:id="264" w:name="_Toc151193770"/>
      <w:bookmarkStart w:id="265" w:name="_Toc151193698"/>
      <w:bookmarkStart w:id="266" w:name="_Toc150774628"/>
      <w:bookmarkStart w:id="267" w:name="_Toc164351622"/>
      <w:bookmarkStart w:id="268" w:name="_Toc305158870"/>
      <w:bookmarkStart w:id="269" w:name="_Toc127151729"/>
      <w:bookmarkStart w:id="270" w:name="_Toc127151528"/>
      <w:bookmarkStart w:id="271" w:name="_Toc150774733"/>
      <w:bookmarkStart w:id="272" w:name="_Toc150509279"/>
      <w:bookmarkStart w:id="273" w:name="_Toc151190155"/>
      <w:bookmarkStart w:id="274" w:name="_Toc226309772"/>
      <w:bookmarkStart w:id="275" w:name="_Toc150480766"/>
      <w:bookmarkStart w:id="276" w:name="_Toc151193842"/>
      <w:bookmarkStart w:id="277" w:name="_Toc195842893"/>
      <w:bookmarkStart w:id="278" w:name="_Toc142311030"/>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64608799"/>
      <w:bookmarkStart w:id="281" w:name="_Toc164608644"/>
      <w:bookmarkStart w:id="282" w:name="_Toc151193772"/>
      <w:bookmarkStart w:id="283" w:name="_Toc164351624"/>
      <w:bookmarkStart w:id="284" w:name="_Toc150774630"/>
      <w:bookmarkStart w:id="285" w:name="_Toc520356155"/>
      <w:bookmarkStart w:id="286" w:name="_Toc151193844"/>
      <w:bookmarkStart w:id="287" w:name="_Toc127151731"/>
      <w:bookmarkStart w:id="288" w:name="_Toc150774735"/>
      <w:bookmarkStart w:id="289" w:name="_Toc164229225"/>
      <w:bookmarkStart w:id="290" w:name="_Toc151190157"/>
      <w:bookmarkStart w:id="291" w:name="_Toc150509281"/>
      <w:bookmarkStart w:id="292" w:name="_Toc149720823"/>
      <w:bookmarkStart w:id="293" w:name="_Toc151193628"/>
      <w:bookmarkStart w:id="294" w:name="_Toc164229371"/>
      <w:bookmarkStart w:id="295" w:name="_Toc142311032"/>
      <w:bookmarkStart w:id="296" w:name="_Toc151193918"/>
      <w:bookmarkStart w:id="297" w:name="_Toc195842895"/>
      <w:bookmarkStart w:id="298" w:name="_Toc150480768"/>
      <w:bookmarkStart w:id="299" w:name="_Toc151193700"/>
      <w:bookmarkStart w:id="300" w:name="_Toc127161444"/>
      <w:bookmarkStart w:id="301" w:name="_Toc127151530"/>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51193919"/>
      <w:bookmarkStart w:id="303" w:name="_Toc151193701"/>
      <w:bookmarkStart w:id="304" w:name="_Toc150774631"/>
      <w:bookmarkStart w:id="305" w:name="_Toc142311033"/>
      <w:bookmarkStart w:id="306" w:name="_Toc151193845"/>
      <w:bookmarkStart w:id="307" w:name="_Toc151190158"/>
      <w:bookmarkStart w:id="308" w:name="_Toc164229372"/>
      <w:bookmarkStart w:id="309" w:name="_Toc151193629"/>
      <w:bookmarkStart w:id="310" w:name="_Toc127151732"/>
      <w:bookmarkStart w:id="311" w:name="_Toc164608645"/>
      <w:bookmarkStart w:id="312" w:name="_Toc305158799"/>
      <w:bookmarkStart w:id="313" w:name="_Toc264969221"/>
      <w:bookmarkStart w:id="314" w:name="_Toc150480769"/>
      <w:bookmarkStart w:id="315" w:name="_Toc305158873"/>
      <w:bookmarkStart w:id="316" w:name="_Toc151193773"/>
      <w:bookmarkStart w:id="317" w:name="_Toc226965721"/>
      <w:bookmarkStart w:id="318" w:name="_Toc164229226"/>
      <w:bookmarkStart w:id="319" w:name="_Toc520356156"/>
      <w:bookmarkStart w:id="320" w:name="_Toc195842896"/>
      <w:bookmarkStart w:id="321" w:name="_Toc164608800"/>
      <w:bookmarkStart w:id="322" w:name="_Toc150774736"/>
      <w:bookmarkStart w:id="323" w:name="_Ref467306513"/>
      <w:bookmarkStart w:id="324" w:name="_Toc149720824"/>
      <w:bookmarkStart w:id="325" w:name="_Toc226965804"/>
      <w:bookmarkStart w:id="326" w:name="_Toc150509282"/>
      <w:bookmarkStart w:id="327" w:name="_Toc265228369"/>
      <w:bookmarkStart w:id="328" w:name="_Toc226337227"/>
      <w:bookmarkStart w:id="329" w:name="_Toc127151531"/>
      <w:bookmarkStart w:id="330" w:name="_Toc127161445"/>
      <w:bookmarkStart w:id="331" w:name="_Toc164351625"/>
      <w:bookmarkStart w:id="332" w:name="_Toc226309775"/>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64608801"/>
      <w:bookmarkStart w:id="334" w:name="_Toc150774737"/>
      <w:bookmarkStart w:id="335" w:name="_Toc226309776"/>
      <w:bookmarkStart w:id="336" w:name="_Toc265228370"/>
      <w:bookmarkStart w:id="337" w:name="_Toc195842897"/>
      <w:bookmarkStart w:id="338" w:name="_Toc305158874"/>
      <w:bookmarkStart w:id="339" w:name="_Toc164229227"/>
      <w:bookmarkStart w:id="340" w:name="_Toc127151532"/>
      <w:bookmarkStart w:id="341" w:name="_Toc520356157"/>
      <w:bookmarkStart w:id="342" w:name="_Toc226965805"/>
      <w:bookmarkStart w:id="343" w:name="_Toc264969222"/>
      <w:bookmarkStart w:id="344" w:name="_Toc305158800"/>
      <w:bookmarkStart w:id="345" w:name="_Toc151190159"/>
      <w:bookmarkStart w:id="346" w:name="_Toc226965722"/>
      <w:bookmarkStart w:id="347" w:name="_Toc127151733"/>
      <w:bookmarkStart w:id="348" w:name="_Toc164608646"/>
      <w:bookmarkStart w:id="349" w:name="_Toc149720825"/>
      <w:bookmarkStart w:id="350" w:name="_Toc142311034"/>
      <w:bookmarkStart w:id="351" w:name="_Toc150774632"/>
      <w:bookmarkStart w:id="352" w:name="_Toc164351626"/>
      <w:bookmarkStart w:id="353" w:name="_Toc151193702"/>
      <w:bookmarkStart w:id="354" w:name="_Toc150509283"/>
      <w:bookmarkStart w:id="355" w:name="_Toc151193630"/>
      <w:bookmarkStart w:id="356" w:name="_Toc164229373"/>
      <w:bookmarkStart w:id="357" w:name="_Toc151193774"/>
      <w:bookmarkStart w:id="358" w:name="_Toc150480770"/>
      <w:bookmarkStart w:id="359" w:name="_Toc127161446"/>
      <w:bookmarkStart w:id="360" w:name="_Toc151193920"/>
      <w:bookmarkStart w:id="361" w:name="_Toc226337228"/>
      <w:bookmarkStart w:id="362" w:name="_Toc151193846"/>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27151734"/>
      <w:bookmarkStart w:id="364" w:name="_Toc127151533"/>
      <w:bookmarkStart w:id="365" w:name="_Toc195842898"/>
      <w:bookmarkStart w:id="366" w:name="_Toc151190160"/>
      <w:bookmarkStart w:id="367" w:name="_Toc164229374"/>
      <w:bookmarkStart w:id="368" w:name="_Toc164608802"/>
      <w:bookmarkStart w:id="369" w:name="_Toc150509284"/>
      <w:bookmarkStart w:id="370" w:name="_Toc150480771"/>
      <w:bookmarkStart w:id="371" w:name="_Toc151193921"/>
      <w:bookmarkStart w:id="372" w:name="_Toc164351627"/>
      <w:bookmarkStart w:id="373" w:name="_Toc164229228"/>
      <w:bookmarkStart w:id="374" w:name="_Toc150774738"/>
      <w:bookmarkStart w:id="375" w:name="_Toc151193703"/>
      <w:bookmarkStart w:id="376" w:name="_Toc265228371"/>
      <w:bookmarkStart w:id="377" w:name="_Toc149720826"/>
      <w:bookmarkStart w:id="378" w:name="_Toc226965806"/>
      <w:bookmarkStart w:id="379" w:name="_Toc226309777"/>
      <w:bookmarkStart w:id="380" w:name="_Toc520356158"/>
      <w:bookmarkStart w:id="381" w:name="_Toc151193847"/>
      <w:bookmarkStart w:id="382" w:name="_Toc305158875"/>
      <w:bookmarkStart w:id="383" w:name="_Toc150774633"/>
      <w:bookmarkStart w:id="384" w:name="_Toc127161447"/>
      <w:bookmarkStart w:id="385" w:name="_Toc164608647"/>
      <w:bookmarkStart w:id="386" w:name="_Toc226337229"/>
      <w:bookmarkStart w:id="387" w:name="_Toc151193631"/>
      <w:bookmarkStart w:id="388" w:name="_Toc151193775"/>
      <w:bookmarkStart w:id="389" w:name="_Toc226965723"/>
      <w:bookmarkStart w:id="390" w:name="_Toc142311035"/>
      <w:bookmarkStart w:id="391" w:name="_Toc305158801"/>
      <w:bookmarkStart w:id="392" w:name="_Toc264969223"/>
      <w:bookmarkStart w:id="393" w:name="_Toc142311036"/>
      <w:bookmarkStart w:id="394" w:name="_Toc151193776"/>
      <w:bookmarkStart w:id="395" w:name="_Toc305158876"/>
      <w:bookmarkStart w:id="396" w:name="_Toc151190161"/>
      <w:bookmarkStart w:id="397" w:name="_Toc226337230"/>
      <w:bookmarkStart w:id="398" w:name="_Toc151193848"/>
      <w:bookmarkStart w:id="399" w:name="_Toc150480772"/>
      <w:bookmarkStart w:id="400" w:name="_Toc264969224"/>
      <w:bookmarkStart w:id="401" w:name="_Toc150774739"/>
      <w:bookmarkStart w:id="402" w:name="_Toc151193922"/>
      <w:bookmarkStart w:id="403" w:name="_Toc305158802"/>
      <w:bookmarkStart w:id="404" w:name="_Toc265228372"/>
      <w:bookmarkStart w:id="405" w:name="_Toc226309778"/>
      <w:bookmarkStart w:id="406" w:name="_Toc195842899"/>
      <w:bookmarkStart w:id="407" w:name="_Toc150509285"/>
      <w:bookmarkStart w:id="408" w:name="_Toc151193632"/>
      <w:bookmarkStart w:id="409" w:name="_Toc150774634"/>
      <w:bookmarkStart w:id="410" w:name="_Toc127151534"/>
      <w:bookmarkStart w:id="411" w:name="_Toc520356159"/>
      <w:bookmarkStart w:id="412" w:name="_Toc226965724"/>
      <w:bookmarkStart w:id="413" w:name="_Toc151193704"/>
      <w:bookmarkStart w:id="414" w:name="_Toc226965807"/>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226965808"/>
      <w:bookmarkStart w:id="417" w:name="_Toc264969225"/>
      <w:bookmarkStart w:id="418" w:name="_Toc195842900"/>
      <w:bookmarkStart w:id="419" w:name="_Toc150774635"/>
      <w:bookmarkStart w:id="420" w:name="_Toc149720828"/>
      <w:bookmarkStart w:id="421" w:name="_Toc305158877"/>
      <w:bookmarkStart w:id="422" w:name="_Toc151193777"/>
      <w:bookmarkStart w:id="423" w:name="_Toc520356160"/>
      <w:bookmarkStart w:id="424" w:name="_Toc164608804"/>
      <w:bookmarkStart w:id="425" w:name="_Toc150480773"/>
      <w:bookmarkStart w:id="426" w:name="_Toc151193705"/>
      <w:bookmarkStart w:id="427" w:name="_Toc142311037"/>
      <w:bookmarkStart w:id="428" w:name="_Toc265228373"/>
      <w:bookmarkStart w:id="429" w:name="_Toc150774740"/>
      <w:bookmarkStart w:id="430" w:name="_Toc151190162"/>
      <w:bookmarkStart w:id="431" w:name="_Toc226965725"/>
      <w:bookmarkStart w:id="432" w:name="_Toc164229230"/>
      <w:bookmarkStart w:id="433" w:name="_Toc150509286"/>
      <w:bookmarkStart w:id="434" w:name="_Toc151193849"/>
      <w:bookmarkStart w:id="435" w:name="_Toc305158803"/>
      <w:bookmarkStart w:id="436" w:name="_Toc164608649"/>
      <w:bookmarkStart w:id="437" w:name="_Toc151193923"/>
      <w:bookmarkStart w:id="438" w:name="_Toc127161449"/>
      <w:bookmarkStart w:id="439" w:name="_Toc164229376"/>
      <w:bookmarkStart w:id="440" w:name="_Toc226309779"/>
      <w:bookmarkStart w:id="441" w:name="_Toc226337231"/>
      <w:bookmarkStart w:id="442" w:name="_Toc164351629"/>
      <w:bookmarkStart w:id="443" w:name="_Toc127151736"/>
      <w:bookmarkStart w:id="444" w:name="_Toc151193633"/>
      <w:bookmarkStart w:id="445" w:name="_Toc127151535"/>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305158878"/>
      <w:bookmarkStart w:id="447" w:name="_Toc142311038"/>
      <w:bookmarkStart w:id="448" w:name="_Toc149720829"/>
      <w:bookmarkStart w:id="449" w:name="_Toc305158804"/>
      <w:bookmarkStart w:id="450" w:name="_Toc226965809"/>
      <w:bookmarkStart w:id="451" w:name="_Toc150509287"/>
      <w:bookmarkStart w:id="452" w:name="_Toc520356161"/>
      <w:bookmarkStart w:id="453" w:name="_Toc226337232"/>
      <w:bookmarkStart w:id="454" w:name="_Toc151193850"/>
      <w:bookmarkStart w:id="455" w:name="_Toc164229377"/>
      <w:bookmarkStart w:id="456" w:name="_Toc150480774"/>
      <w:bookmarkStart w:id="457" w:name="_Toc164608805"/>
      <w:bookmarkStart w:id="458" w:name="_Toc264969226"/>
      <w:bookmarkStart w:id="459" w:name="_Toc151193924"/>
      <w:bookmarkStart w:id="460" w:name="_Toc151190163"/>
      <w:bookmarkStart w:id="461" w:name="_Toc151193778"/>
      <w:bookmarkStart w:id="462" w:name="_Toc151193634"/>
      <w:bookmarkStart w:id="463" w:name="_Toc226965726"/>
      <w:bookmarkStart w:id="464" w:name="_Toc226309780"/>
      <w:bookmarkStart w:id="465" w:name="_Toc195842901"/>
      <w:bookmarkStart w:id="466" w:name="_Toc164229231"/>
      <w:bookmarkStart w:id="467" w:name="_Toc151193706"/>
      <w:bookmarkStart w:id="468" w:name="_Toc164608650"/>
      <w:bookmarkStart w:id="469" w:name="_Toc150774636"/>
      <w:bookmarkStart w:id="470" w:name="_Toc164351630"/>
      <w:bookmarkStart w:id="471" w:name="_Toc150774741"/>
      <w:bookmarkStart w:id="472" w:name="_Toc127151737"/>
      <w:bookmarkStart w:id="473" w:name="_Toc127161450"/>
      <w:bookmarkStart w:id="474" w:name="_Toc127151536"/>
      <w:bookmarkStart w:id="475" w:name="_Toc265228374"/>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150480775"/>
      <w:bookmarkStart w:id="477" w:name="_Toc164608806"/>
      <w:bookmarkStart w:id="478" w:name="_Toc127151738"/>
      <w:bookmarkStart w:id="479" w:name="_Toc151190164"/>
      <w:bookmarkStart w:id="480" w:name="_Toc265228375"/>
      <w:bookmarkStart w:id="481" w:name="_Toc520356162"/>
      <w:bookmarkStart w:id="482" w:name="_Toc150774742"/>
      <w:bookmarkStart w:id="483" w:name="_Toc149720830"/>
      <w:bookmarkStart w:id="484" w:name="_Toc151193851"/>
      <w:bookmarkStart w:id="485" w:name="_Toc151193635"/>
      <w:bookmarkStart w:id="486" w:name="_Toc150774637"/>
      <w:bookmarkStart w:id="487" w:name="_Toc305158879"/>
      <w:bookmarkStart w:id="488" w:name="_Toc164608651"/>
      <w:bookmarkStart w:id="489" w:name="_Toc151193925"/>
      <w:bookmarkStart w:id="490" w:name="_Toc127161451"/>
      <w:bookmarkStart w:id="491" w:name="_Toc151193707"/>
      <w:bookmarkStart w:id="492" w:name="_Toc305158805"/>
      <w:bookmarkStart w:id="493" w:name="_Toc226965810"/>
      <w:bookmarkStart w:id="494" w:name="_Toc164229232"/>
      <w:bookmarkStart w:id="495" w:name="_Toc164351631"/>
      <w:bookmarkStart w:id="496" w:name="_Toc164229378"/>
      <w:bookmarkStart w:id="497" w:name="_Toc142311039"/>
      <w:bookmarkStart w:id="498" w:name="_Toc127151537"/>
      <w:bookmarkStart w:id="499" w:name="_Toc195842902"/>
      <w:bookmarkStart w:id="500" w:name="_Toc226965727"/>
      <w:bookmarkStart w:id="501" w:name="_Toc150509288"/>
      <w:bookmarkStart w:id="502" w:name="_Toc264969227"/>
      <w:bookmarkStart w:id="503" w:name="_Toc151193779"/>
      <w:bookmarkStart w:id="504" w:name="_Toc226337233"/>
      <w:bookmarkStart w:id="505" w:name="_Toc226309781"/>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1190165"/>
      <w:bookmarkStart w:id="507" w:name="_Toc226965728"/>
      <w:bookmarkStart w:id="508" w:name="_Toc305158880"/>
      <w:bookmarkStart w:id="509" w:name="_Toc226337234"/>
      <w:bookmarkStart w:id="510" w:name="_Toc265228376"/>
      <w:bookmarkStart w:id="511" w:name="_Toc127151538"/>
      <w:bookmarkStart w:id="512" w:name="_Toc520356163"/>
      <w:bookmarkStart w:id="513" w:name="_Toc226309782"/>
      <w:bookmarkStart w:id="514" w:name="_Toc150774743"/>
      <w:bookmarkStart w:id="515" w:name="_Toc150509289"/>
      <w:bookmarkStart w:id="516" w:name="_Toc264969228"/>
      <w:bookmarkStart w:id="517" w:name="_Toc305158806"/>
      <w:bookmarkStart w:id="518" w:name="_Toc150774638"/>
      <w:bookmarkStart w:id="519" w:name="_Toc151193926"/>
      <w:bookmarkStart w:id="520" w:name="_Toc150480776"/>
      <w:bookmarkStart w:id="521" w:name="_Toc142311040"/>
      <w:bookmarkStart w:id="522" w:name="_Toc151193708"/>
      <w:bookmarkStart w:id="523" w:name="_Toc195842903"/>
      <w:bookmarkStart w:id="524" w:name="_Toc151193852"/>
      <w:bookmarkStart w:id="525" w:name="_Toc151193636"/>
      <w:bookmarkStart w:id="526" w:name="_Toc151193780"/>
      <w:bookmarkStart w:id="527" w:name="_Toc226965811"/>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226309783"/>
      <w:bookmarkStart w:id="529" w:name="_Toc149720832"/>
      <w:bookmarkStart w:id="530" w:name="_Toc151193637"/>
      <w:bookmarkStart w:id="531" w:name="_Toc127151740"/>
      <w:bookmarkStart w:id="532" w:name="_Toc164608808"/>
      <w:bookmarkStart w:id="533" w:name="_Toc150774744"/>
      <w:bookmarkStart w:id="534" w:name="_Toc265228377"/>
      <w:bookmarkStart w:id="535" w:name="_Toc127161453"/>
      <w:bookmarkStart w:id="536" w:name="_Toc151193927"/>
      <w:bookmarkStart w:id="537" w:name="_Toc305158807"/>
      <w:bookmarkStart w:id="538" w:name="_Toc164229234"/>
      <w:bookmarkStart w:id="539" w:name="_Toc127151539"/>
      <w:bookmarkStart w:id="540" w:name="_Toc151190166"/>
      <w:bookmarkStart w:id="541" w:name="_Toc150509290"/>
      <w:bookmarkStart w:id="542" w:name="_Toc226337235"/>
      <w:bookmarkStart w:id="543" w:name="_Toc142311041"/>
      <w:bookmarkStart w:id="544" w:name="_Toc150480777"/>
      <w:bookmarkStart w:id="545" w:name="_Toc305158881"/>
      <w:bookmarkStart w:id="546" w:name="_Toc150774639"/>
      <w:bookmarkStart w:id="547" w:name="_Toc151193853"/>
      <w:bookmarkStart w:id="548" w:name="_Toc164229380"/>
      <w:bookmarkStart w:id="549" w:name="_Toc520356164"/>
      <w:bookmarkStart w:id="550" w:name="_Toc151193709"/>
      <w:bookmarkStart w:id="551" w:name="_Toc164608653"/>
      <w:bookmarkStart w:id="552" w:name="_Toc151193781"/>
      <w:bookmarkStart w:id="553" w:name="_Toc264969229"/>
      <w:bookmarkStart w:id="554" w:name="_Toc226965812"/>
      <w:bookmarkStart w:id="555" w:name="_Toc164351633"/>
      <w:bookmarkStart w:id="556" w:name="_Toc226965729"/>
      <w:bookmarkStart w:id="557" w:name="_Toc195842904"/>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149720833"/>
      <w:bookmarkStart w:id="560" w:name="_Toc226337236"/>
      <w:bookmarkStart w:id="561" w:name="_Toc195842905"/>
      <w:bookmarkStart w:id="562" w:name="_Toc127151540"/>
      <w:bookmarkStart w:id="563" w:name="_Toc264969230"/>
      <w:bookmarkStart w:id="564" w:name="_Toc150774640"/>
      <w:bookmarkStart w:id="565" w:name="_Toc150774745"/>
      <w:bookmarkStart w:id="566" w:name="_Toc151190167"/>
      <w:bookmarkStart w:id="567" w:name="_Toc305158882"/>
      <w:bookmarkStart w:id="568" w:name="_Toc151193782"/>
      <w:bookmarkStart w:id="569" w:name="_Toc164351634"/>
      <w:bookmarkStart w:id="570" w:name="_Toc151193854"/>
      <w:bookmarkStart w:id="571" w:name="_Toc142311042"/>
      <w:bookmarkStart w:id="572" w:name="_Toc151193638"/>
      <w:bookmarkStart w:id="573" w:name="_Toc127161454"/>
      <w:bookmarkStart w:id="574" w:name="_Toc150509291"/>
      <w:bookmarkStart w:id="575" w:name="_Toc151193928"/>
      <w:bookmarkStart w:id="576" w:name="_Toc226309784"/>
      <w:bookmarkStart w:id="577" w:name="_Toc164608654"/>
      <w:bookmarkStart w:id="578" w:name="_Toc164229235"/>
      <w:bookmarkStart w:id="579" w:name="_Toc305158808"/>
      <w:bookmarkStart w:id="580" w:name="_Toc226965730"/>
      <w:bookmarkStart w:id="581" w:name="_Toc226965813"/>
      <w:bookmarkStart w:id="582" w:name="_Toc150480778"/>
      <w:bookmarkStart w:id="583" w:name="_Toc127151741"/>
      <w:bookmarkStart w:id="584" w:name="_Toc151193710"/>
      <w:bookmarkStart w:id="585" w:name="_Toc265228378"/>
      <w:bookmarkStart w:id="586" w:name="_Toc164608809"/>
      <w:bookmarkStart w:id="587" w:name="_Toc164229381"/>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226965818"/>
      <w:bookmarkStart w:id="590" w:name="_Toc142311047"/>
      <w:bookmarkStart w:id="591" w:name="_Toc151193859"/>
      <w:bookmarkStart w:id="592" w:name="_Toc151193643"/>
      <w:bookmarkStart w:id="593" w:name="_Toc150774645"/>
      <w:bookmarkStart w:id="594" w:name="_Toc226337241"/>
      <w:bookmarkStart w:id="595" w:name="_Toc151193787"/>
      <w:bookmarkStart w:id="596" w:name="_Toc226309789"/>
      <w:bookmarkStart w:id="597" w:name="_Toc150480783"/>
      <w:bookmarkStart w:id="598" w:name="_Toc150509296"/>
      <w:bookmarkStart w:id="599" w:name="_Toc226965735"/>
      <w:bookmarkStart w:id="600" w:name="_Toc150774750"/>
      <w:bookmarkStart w:id="601" w:name="_Toc195842910"/>
      <w:bookmarkStart w:id="602" w:name="_Toc265228383"/>
      <w:bookmarkStart w:id="603" w:name="_Toc151190172"/>
      <w:bookmarkStart w:id="604" w:name="_Toc305158813"/>
      <w:bookmarkStart w:id="605" w:name="_Toc264969235"/>
      <w:bookmarkStart w:id="606" w:name="_Toc151193933"/>
      <w:bookmarkStart w:id="607" w:name="_Toc305158887"/>
      <w:bookmarkStart w:id="608" w:name="_Toc151193715"/>
      <w:bookmarkStart w:id="609" w:name="_Toc12715154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264969237"/>
      <w:bookmarkStart w:id="611" w:name="_Toc265228385"/>
      <w:bookmarkStart w:id="612" w:name="_Toc164608816"/>
      <w:bookmarkStart w:id="613" w:name="_Toc149720840"/>
      <w:bookmarkStart w:id="614" w:name="_Toc226337243"/>
      <w:bookmarkStart w:id="615" w:name="_Toc150774752"/>
      <w:bookmarkStart w:id="616" w:name="_Toc127151547"/>
      <w:bookmarkStart w:id="617" w:name="_Toc305158889"/>
      <w:bookmarkStart w:id="618" w:name="_Toc305158815"/>
      <w:bookmarkStart w:id="619" w:name="_Toc151193935"/>
      <w:bookmarkStart w:id="620" w:name="_Toc164229388"/>
      <w:bookmarkStart w:id="621" w:name="_Toc151193789"/>
      <w:bookmarkStart w:id="622" w:name="_Toc164608661"/>
      <w:bookmarkStart w:id="623" w:name="_Toc226309791"/>
      <w:bookmarkStart w:id="624" w:name="_Toc151193861"/>
      <w:bookmarkStart w:id="625" w:name="_Toc127161461"/>
      <w:bookmarkStart w:id="626" w:name="_Toc151190174"/>
      <w:bookmarkStart w:id="627" w:name="_Toc150774647"/>
      <w:bookmarkStart w:id="628" w:name="_Toc150509298"/>
      <w:bookmarkStart w:id="629" w:name="_Toc150480785"/>
      <w:bookmarkStart w:id="630" w:name="_Toc164229242"/>
      <w:bookmarkStart w:id="631" w:name="_Toc226965820"/>
      <w:bookmarkStart w:id="632" w:name="_Toc164351641"/>
      <w:bookmarkStart w:id="633" w:name="_Toc142311049"/>
      <w:bookmarkStart w:id="634" w:name="_Toc195842912"/>
      <w:bookmarkStart w:id="635" w:name="_Toc127151748"/>
      <w:bookmarkStart w:id="636" w:name="_Toc151193717"/>
      <w:bookmarkStart w:id="637" w:name="_Toc151193645"/>
      <w:bookmarkStart w:id="638" w:name="_Toc226965737"/>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rPr>
        <w:t>中标供应商</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采购人将在评标报告确定的中标候选人名单中按顺序确定中标供应商，中标候选人并列的，由采购人依法确定。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195842914"/>
      <w:bookmarkStart w:id="642" w:name="_Toc164608818"/>
      <w:bookmarkStart w:id="643" w:name="_Toc265228387"/>
      <w:bookmarkStart w:id="644" w:name="_Toc151193719"/>
      <w:bookmarkStart w:id="645" w:name="_Toc150480787"/>
      <w:bookmarkStart w:id="646" w:name="_Toc164351643"/>
      <w:bookmarkStart w:id="647" w:name="_Toc151190176"/>
      <w:bookmarkStart w:id="648" w:name="_Toc226309793"/>
      <w:bookmarkStart w:id="649" w:name="_Toc142311051"/>
      <w:bookmarkStart w:id="650" w:name="_Toc151193937"/>
      <w:bookmarkStart w:id="651" w:name="_Toc149720842"/>
      <w:bookmarkStart w:id="652" w:name="_Toc127161463"/>
      <w:bookmarkStart w:id="653" w:name="_Toc164229244"/>
      <w:bookmarkStart w:id="654" w:name="_Toc164608663"/>
      <w:bookmarkStart w:id="655" w:name="_Toc127151549"/>
      <w:bookmarkStart w:id="656" w:name="_Toc150774754"/>
      <w:bookmarkStart w:id="657" w:name="_Toc226337245"/>
      <w:bookmarkStart w:id="658" w:name="_Toc127151750"/>
      <w:bookmarkStart w:id="659" w:name="_Toc151193647"/>
      <w:bookmarkStart w:id="660" w:name="_Toc164229390"/>
      <w:bookmarkStart w:id="661" w:name="_Toc150774649"/>
      <w:bookmarkStart w:id="662" w:name="_Toc151193863"/>
      <w:bookmarkStart w:id="663" w:name="_Toc150509300"/>
      <w:bookmarkStart w:id="664" w:name="_Toc264969239"/>
      <w:bookmarkStart w:id="665" w:name="_Toc151193791"/>
      <w:bookmarkStart w:id="666" w:name="_Toc226965822"/>
      <w:bookmarkStart w:id="667" w:name="_Toc226965739"/>
      <w:bookmarkStart w:id="668" w:name="_Toc520356176"/>
      <w:bookmarkStart w:id="669" w:name="_Ref467307090"/>
      <w:bookmarkStart w:id="670" w:name="_Ref467306425"/>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采购人或采购代理机构自中标供应商确定之日起2个工作日内，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，同时向中标供应商发出中标通知书，中标公告期限为1个工作日。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符合专业条件的投标供应商或者对招标文件作实质响应的投标供应商不足三家的；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150774755"/>
      <w:bookmarkStart w:id="672" w:name="_Toc265228388"/>
      <w:bookmarkStart w:id="673" w:name="_Toc164351644"/>
      <w:bookmarkStart w:id="674" w:name="_Toc226337246"/>
      <w:bookmarkStart w:id="675" w:name="_Toc164608664"/>
      <w:bookmarkStart w:id="676" w:name="_Toc151193938"/>
      <w:bookmarkStart w:id="677" w:name="_Ref467306978"/>
      <w:bookmarkStart w:id="678" w:name="_Toc142311052"/>
      <w:bookmarkStart w:id="679" w:name="_Toc127151751"/>
      <w:bookmarkStart w:id="680" w:name="_Toc127161464"/>
      <w:bookmarkStart w:id="681" w:name="_Toc226309794"/>
      <w:bookmarkStart w:id="682" w:name="_Toc164608819"/>
      <w:bookmarkStart w:id="683" w:name="_Toc150509301"/>
      <w:bookmarkStart w:id="684" w:name="_Ref467306377"/>
      <w:bookmarkStart w:id="685" w:name="_Toc305158892"/>
      <w:bookmarkStart w:id="686" w:name="_Ref467307204"/>
      <w:bookmarkStart w:id="687" w:name="_Toc264969240"/>
      <w:bookmarkStart w:id="688" w:name="_Toc164229391"/>
      <w:bookmarkStart w:id="689" w:name="_Ref467307062"/>
      <w:bookmarkStart w:id="690" w:name="_Toc150774650"/>
      <w:bookmarkStart w:id="691" w:name="_Toc164229245"/>
      <w:bookmarkStart w:id="692" w:name="_Toc151193792"/>
      <w:bookmarkStart w:id="693" w:name="_Toc151193720"/>
      <w:bookmarkStart w:id="694" w:name="_Toc151193864"/>
      <w:bookmarkStart w:id="695" w:name="_Toc520356175"/>
      <w:bookmarkStart w:id="696" w:name="_Toc195842915"/>
      <w:bookmarkStart w:id="697" w:name="_Toc151190177"/>
      <w:bookmarkStart w:id="698" w:name="_Toc127151550"/>
      <w:bookmarkStart w:id="699" w:name="_Toc305158818"/>
      <w:bookmarkStart w:id="700" w:name="_Toc151193648"/>
      <w:bookmarkStart w:id="701" w:name="_Toc226965740"/>
      <w:bookmarkStart w:id="702" w:name="_Toc226965823"/>
      <w:bookmarkStart w:id="703" w:name="_Toc150480788"/>
      <w:bookmarkStart w:id="704" w:name="_Toc149720843"/>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中标供应商、采购人应当自中标通知书发出之日起30日内，按照招标文件和中标供应商投标文件的规定签订书面合同。所签订的合同不得对招标文件确定的事项和中标供应商的投标文件作实质性修改。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中标供应商拒绝与采购人签订合同的，采购人可以按照评标报告推荐的中标候选人名单排序，确定下一候选人为中标供应商，也可以重新开展政府采购活动。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采购人或采购代理机构对投标供应商依法提出的询问，在3个工作日内作出答复，但答复的内容不得涉及商业秘密。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hint="eastAsia" w:ascii="宋体" w:hAnsi="宋体" w:cs="宋体"/>
          <w:color w:val="auto"/>
          <w:sz w:val="24"/>
          <w:highlight w:val="none"/>
        </w:rPr>
        <w:t>http://gk</w:t>
      </w:r>
      <w:bookmarkStart w:id="705" w:name="_Hlt100654014"/>
      <w:r>
        <w:rPr>
          <w:rStyle w:val="54"/>
          <w:rFonts w:hint="eastAsia" w:ascii="宋体" w:hAnsi="宋体" w:cs="宋体"/>
          <w:color w:val="auto"/>
          <w:sz w:val="24"/>
          <w:highlight w:val="none"/>
        </w:rPr>
        <w:t>s</w:t>
      </w:r>
      <w:bookmarkEnd w:id="705"/>
      <w:r>
        <w:rPr>
          <w:rStyle w:val="54"/>
          <w:rFonts w:hint="eastAsia" w:ascii="宋体" w:hAnsi="宋体" w:cs="宋体"/>
          <w:color w:val="auto"/>
          <w:sz w:val="24"/>
          <w:highlight w:val="none"/>
        </w:rPr>
        <w:t>.m</w:t>
      </w:r>
      <w:bookmarkStart w:id="706" w:name="_Hlt100653994"/>
      <w:bookmarkStart w:id="707" w:name="_Hlt100653993"/>
      <w:r>
        <w:rPr>
          <w:rStyle w:val="54"/>
          <w:rFonts w:hint="eastAsia" w:ascii="宋体" w:hAnsi="宋体" w:cs="宋体"/>
          <w:color w:val="auto"/>
          <w:sz w:val="24"/>
          <w:highlight w:val="none"/>
        </w:rPr>
        <w:t>o</w:t>
      </w:r>
      <w:bookmarkEnd w:id="706"/>
      <w:bookmarkEnd w:id="707"/>
      <w:r>
        <w:rPr>
          <w:rStyle w:val="54"/>
          <w:rFonts w:hint="eastAsia" w:ascii="宋体" w:hAnsi="宋体" w:cs="宋体"/>
          <w:color w:val="auto"/>
          <w:sz w:val="24"/>
          <w:highlight w:val="none"/>
        </w:rPr>
        <w:t>f.gov.cn/ztztz/zhengfucaigouguanli/201802/t20180201_2804589.htm</w:t>
      </w:r>
      <w:r>
        <w:rPr>
          <w:rStyle w:val="54"/>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收费对象、收费标准及缴纳时间见《投标人须知资料表》。由中标供应商支付的，中标供应商须一次性向采购代理机构缴纳代理费，投标报价应包含代理费用。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142311056"/>
      <w:bookmarkStart w:id="709" w:name="_Toc150480792"/>
      <w:bookmarkStart w:id="710" w:name="_Toc127151554"/>
      <w:bookmarkStart w:id="711" w:name="_Toc305158822"/>
      <w:bookmarkStart w:id="712" w:name="_Toc264969244"/>
      <w:bookmarkStart w:id="713" w:name="_Toc150774759"/>
      <w:bookmarkStart w:id="714" w:name="_Toc353825544"/>
      <w:bookmarkStart w:id="715" w:name="_Toc353873664"/>
      <w:bookmarkStart w:id="716" w:name="_Toc226965827"/>
      <w:bookmarkStart w:id="717" w:name="_Toc265228392"/>
      <w:bookmarkStart w:id="718" w:name="_Toc226337250"/>
      <w:bookmarkStart w:id="719" w:name="_Toc353873934"/>
      <w:bookmarkStart w:id="720" w:name="_Toc305158896"/>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6"/>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127161490"/>
            <w:bookmarkStart w:id="727" w:name="_Toc127151779"/>
            <w:bookmarkStart w:id="728" w:name="_Toc353825550"/>
            <w:bookmarkStart w:id="729" w:name="_Toc353873940"/>
            <w:bookmarkStart w:id="730" w:name="_Toc226965858"/>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4185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19413D4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w:t>
            </w:r>
          </w:p>
        </w:tc>
        <w:tc>
          <w:tcPr>
            <w:tcW w:w="0" w:type="auto"/>
            <w:shd w:val="clear" w:color="auto" w:fill="auto"/>
            <w:vAlign w:val="center"/>
          </w:tcPr>
          <w:p w14:paraId="5C72B9F2">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本项目的特定资格要求</w:t>
            </w:r>
          </w:p>
        </w:tc>
        <w:tc>
          <w:tcPr>
            <w:tcW w:w="0" w:type="auto"/>
            <w:shd w:val="clear" w:color="auto" w:fill="auto"/>
            <w:vAlign w:val="center"/>
          </w:tcPr>
          <w:p w14:paraId="6740DF23">
            <w:pPr>
              <w:tabs>
                <w:tab w:val="left" w:pos="1080"/>
              </w:tabs>
              <w:snapToGrid w:val="0"/>
              <w:outlineLvl w:val="9"/>
              <w:rPr>
                <w:rFonts w:hint="eastAsia" w:ascii="宋体" w:hAnsi="宋体" w:eastAsia="宋体" w:cs="宋体"/>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7FA1E36C">
            <w:pPr>
              <w:tabs>
                <w:tab w:val="left" w:pos="1080"/>
              </w:tabs>
              <w:snapToGrid w:val="0"/>
              <w:outlineLvl w:val="9"/>
              <w:rPr>
                <w:rFonts w:hint="eastAsia" w:ascii="宋体" w:hAnsi="宋体" w:eastAsia="宋体" w:cs="宋体"/>
                <w:color w:val="auto"/>
                <w:kern w:val="2"/>
                <w:sz w:val="24"/>
                <w:szCs w:val="24"/>
                <w:highlight w:val="none"/>
                <w:lang w:val="en-US" w:eastAsia="zh-CN" w:bidi="ar-SA"/>
              </w:rPr>
            </w:pPr>
          </w:p>
        </w:tc>
      </w:tr>
      <w:tr w14:paraId="2912A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07777D80">
            <w:pPr>
              <w:tabs>
                <w:tab w:val="left" w:pos="1080"/>
              </w:tabs>
              <w:snapToGrid w:val="0"/>
              <w:jc w:val="center"/>
              <w:outlineLvl w:val="9"/>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3-1</w:t>
            </w:r>
          </w:p>
        </w:tc>
        <w:tc>
          <w:tcPr>
            <w:tcW w:w="0" w:type="auto"/>
            <w:shd w:val="clear" w:color="auto" w:fill="auto"/>
            <w:vAlign w:val="center"/>
          </w:tcPr>
          <w:p w14:paraId="57E56974">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其他特定资格要求</w:t>
            </w:r>
          </w:p>
        </w:tc>
        <w:tc>
          <w:tcPr>
            <w:tcW w:w="0" w:type="auto"/>
            <w:shd w:val="clear" w:color="auto" w:fill="auto"/>
            <w:vAlign w:val="center"/>
          </w:tcPr>
          <w:p w14:paraId="13B97B2C">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见第一章《投标邀请》</w:t>
            </w:r>
          </w:p>
        </w:tc>
        <w:tc>
          <w:tcPr>
            <w:tcW w:w="0" w:type="auto"/>
            <w:shd w:val="clear" w:color="auto" w:fill="auto"/>
            <w:vAlign w:val="center"/>
          </w:tcPr>
          <w:p w14:paraId="666340FB">
            <w:pPr>
              <w:tabs>
                <w:tab w:val="left" w:pos="1080"/>
              </w:tabs>
              <w:snapToGrid w:val="0"/>
              <w:outlineLvl w:val="9"/>
              <w:rPr>
                <w:rFonts w:hint="eastAsia" w:ascii="Times New Roman" w:hAnsi="Times New Roman" w:eastAsia="宋体" w:cs="Times New Roman"/>
                <w:color w:val="auto"/>
                <w:kern w:val="2"/>
                <w:sz w:val="24"/>
                <w:szCs w:val="24"/>
                <w:highlight w:val="none"/>
                <w:lang w:val="en-US" w:eastAsia="zh-CN" w:bidi="ar-SA"/>
              </w:rPr>
            </w:pPr>
            <w:r>
              <w:rPr>
                <w:color w:val="auto"/>
                <w:sz w:val="24"/>
                <w:highlight w:val="none"/>
              </w:rPr>
              <w:t>提供证明文件的电子件或电子证照</w:t>
            </w:r>
          </w:p>
        </w:tc>
      </w:tr>
    </w:tbl>
    <w:p w14:paraId="29F4A380">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8940"/>
      <w:bookmarkStart w:id="732" w:name="_Toc99301423"/>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64608810"/>
      <w:bookmarkStart w:id="735" w:name="_Toc127161455"/>
      <w:bookmarkStart w:id="736" w:name="_Toc164229236"/>
      <w:bookmarkStart w:id="737" w:name="_Toc150774641"/>
      <w:bookmarkStart w:id="738" w:name="_Toc151193929"/>
      <w:bookmarkStart w:id="739" w:name="_Toc164351635"/>
      <w:bookmarkStart w:id="740" w:name="_Toc150480779"/>
      <w:bookmarkStart w:id="741" w:name="_Toc164229382"/>
      <w:bookmarkStart w:id="742" w:name="_Toc305158883"/>
      <w:bookmarkStart w:id="743" w:name="_Toc149720834"/>
      <w:bookmarkStart w:id="744" w:name="_Toc226309785"/>
      <w:bookmarkStart w:id="745" w:name="_Toc195842906"/>
      <w:bookmarkStart w:id="746" w:name="_Toc226337237"/>
      <w:bookmarkStart w:id="747" w:name="_Toc150509292"/>
      <w:bookmarkStart w:id="748" w:name="_Toc151193855"/>
      <w:bookmarkStart w:id="749" w:name="_Toc164608655"/>
      <w:bookmarkStart w:id="750" w:name="_Toc151193711"/>
      <w:bookmarkStart w:id="751" w:name="_Toc226965814"/>
      <w:bookmarkStart w:id="752" w:name="_Toc226965731"/>
      <w:bookmarkStart w:id="753" w:name="_Toc265228379"/>
      <w:bookmarkStart w:id="754" w:name="_Toc264969231"/>
      <w:bookmarkStart w:id="755" w:name="_Toc151193639"/>
      <w:bookmarkStart w:id="756" w:name="_Toc151190168"/>
      <w:bookmarkStart w:id="757" w:name="_Toc127151742"/>
      <w:bookmarkStart w:id="758" w:name="_Toc142311043"/>
      <w:bookmarkStart w:id="759" w:name="_Toc150774746"/>
      <w:bookmarkStart w:id="760" w:name="_Toc127151541"/>
      <w:bookmarkStart w:id="761" w:name="_Toc151193783"/>
      <w:bookmarkStart w:id="762" w:name="_Toc305158809"/>
      <w:bookmarkStart w:id="763" w:name="_Toc353873941"/>
      <w:bookmarkStart w:id="764" w:name="_Toc353825551"/>
      <w:bookmarkStart w:id="765" w:name="_Toc353873935"/>
      <w:bookmarkStart w:id="766" w:name="_Toc195842920"/>
      <w:bookmarkStart w:id="767" w:name="_Toc150774760"/>
      <w:bookmarkStart w:id="768" w:name="_Toc305158823"/>
      <w:bookmarkStart w:id="769" w:name="_Toc353873665"/>
      <w:bookmarkStart w:id="770" w:name="_Toc226965828"/>
      <w:bookmarkStart w:id="771" w:name="_Toc142311057"/>
      <w:bookmarkStart w:id="772" w:name="_Toc264969245"/>
      <w:bookmarkStart w:id="773" w:name="_Toc353825545"/>
      <w:bookmarkStart w:id="774" w:name="_Toc127151555"/>
      <w:bookmarkStart w:id="775" w:name="_Toc226337251"/>
      <w:bookmarkStart w:id="776" w:name="_Toc265228393"/>
      <w:bookmarkStart w:id="777" w:name="_Toc150480793"/>
      <w:bookmarkStart w:id="778" w:name="_Toc305158897"/>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color w:val="auto"/>
                <w:kern w:val="0"/>
                <w:sz w:val="24"/>
                <w:highlight w:val="none"/>
              </w:rPr>
            </w:pPr>
            <w:r>
              <w:rPr>
                <w:color w:val="auto"/>
                <w:kern w:val="0"/>
                <w:sz w:val="24"/>
                <w:highlight w:val="none"/>
              </w:rPr>
              <w:t>8</w:t>
            </w:r>
          </w:p>
        </w:tc>
        <w:tc>
          <w:tcPr>
            <w:tcW w:w="1813" w:type="dxa"/>
            <w:vAlign w:val="center"/>
          </w:tcPr>
          <w:p w14:paraId="4272F213">
            <w:pPr>
              <w:widowControl/>
              <w:jc w:val="left"/>
              <w:rPr>
                <w:rFonts w:hint="eastAsia" w:eastAsia="宋体"/>
                <w:color w:val="auto"/>
                <w:kern w:val="0"/>
                <w:sz w:val="24"/>
                <w:highlight w:val="none"/>
                <w:lang w:eastAsia="zh-CN"/>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vAlign w:val="center"/>
          </w:tcPr>
          <w:p w14:paraId="074519BF">
            <w:pPr>
              <w:widowControl/>
              <w:jc w:val="left"/>
              <w:rPr>
                <w:color w:val="auto"/>
                <w:kern w:val="0"/>
                <w:sz w:val="24"/>
                <w:highlight w:val="none"/>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9</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1F8604F4">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报价合理，或供应商的报价明显低于其他通过符合性审查供应商的报价，有可能影响服务质量或者不能诚信履约的，能够应磋商小组要求在规定时间内证明其报价合理性的；</w:t>
            </w:r>
          </w:p>
          <w:p w14:paraId="4BDE8E4B">
            <w:pPr>
              <w:widowControl/>
              <w:jc w:val="left"/>
              <w:rPr>
                <w:color w:val="auto"/>
                <w:kern w:val="0"/>
                <w:sz w:val="24"/>
                <w:highlight w:val="none"/>
              </w:rPr>
            </w:pPr>
            <w:r>
              <w:rPr>
                <w:rFonts w:hint="eastAsia" w:ascii="宋体" w:hAnsi="宋体" w:eastAsia="宋体" w:cs="宋体"/>
                <w:color w:val="auto"/>
                <w:kern w:val="0"/>
                <w:sz w:val="24"/>
                <w:highlight w:val="none"/>
              </w:rPr>
              <w:t>根据苏财购〔2025〕62号文件规定，评审中出现下列情形之一的，评审小组应当启动异常低价投标（响应）审查程序：1）响应低于采购项目预算 50% 的；2）响应报价低于采购项目最高限价 45%的；3）评审小组认定的供应商报价过低、有可能影响产品质量或者不能诚信履约的其他情形。评审小组将通过苏采云系统要求供应商在评标现场合理的时间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151193716"/>
      <w:bookmarkStart w:id="781" w:name="_Toc164351640"/>
      <w:bookmarkStart w:id="782" w:name="_Ref467307010"/>
      <w:bookmarkStart w:id="783" w:name="_Toc150509297"/>
      <w:bookmarkStart w:id="784" w:name="_Toc150774751"/>
      <w:bookmarkStart w:id="785" w:name="_Toc164229241"/>
      <w:bookmarkStart w:id="786" w:name="_Toc127151747"/>
      <w:bookmarkStart w:id="787" w:name="_Toc264969236"/>
      <w:bookmarkStart w:id="788" w:name="_Toc226965736"/>
      <w:bookmarkStart w:id="789" w:name="_Toc142311048"/>
      <w:bookmarkStart w:id="790" w:name="_Toc149720839"/>
      <w:bookmarkStart w:id="791" w:name="_Toc305158814"/>
      <w:bookmarkStart w:id="792" w:name="_Toc520356170"/>
      <w:bookmarkStart w:id="793" w:name="_Toc265228384"/>
      <w:bookmarkStart w:id="794" w:name="_Toc195842911"/>
      <w:bookmarkStart w:id="795" w:name="_Toc226309790"/>
      <w:bookmarkStart w:id="796" w:name="_Toc151193788"/>
      <w:bookmarkStart w:id="797" w:name="_Toc305158888"/>
      <w:bookmarkStart w:id="798" w:name="_Toc164608660"/>
      <w:bookmarkStart w:id="799" w:name="_Toc226337242"/>
      <w:bookmarkStart w:id="800" w:name="_Toc151190173"/>
      <w:bookmarkStart w:id="801" w:name="_Toc164608815"/>
      <w:bookmarkStart w:id="802" w:name="_Toc164229387"/>
      <w:bookmarkStart w:id="803" w:name="_Toc226965819"/>
      <w:bookmarkStart w:id="804" w:name="_Toc127151546"/>
      <w:bookmarkStart w:id="805" w:name="_Toc151193934"/>
      <w:bookmarkStart w:id="806" w:name="_Toc151193860"/>
      <w:bookmarkStart w:id="807" w:name="_Toc151193644"/>
      <w:bookmarkStart w:id="808" w:name="_Toc150480784"/>
      <w:bookmarkStart w:id="809" w:name="_Toc150774646"/>
      <w:bookmarkStart w:id="810" w:name="_Toc127161460"/>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0"/>
        <w:tblW w:w="52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8"/>
        <w:gridCol w:w="1151"/>
        <w:gridCol w:w="860"/>
        <w:gridCol w:w="6129"/>
      </w:tblGrid>
      <w:tr w14:paraId="6B8C8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6EACA40A">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50" w:type="dxa"/>
            <w:noWrap w:val="0"/>
            <w:vAlign w:val="center"/>
          </w:tcPr>
          <w:p w14:paraId="554479EA">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859" w:type="dxa"/>
            <w:noWrap w:val="0"/>
            <w:vAlign w:val="center"/>
          </w:tcPr>
          <w:p w14:paraId="18DAB4D7">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122" w:type="dxa"/>
            <w:noWrap w:val="0"/>
            <w:vAlign w:val="center"/>
          </w:tcPr>
          <w:p w14:paraId="3D28DB66">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2735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18" w:type="dxa"/>
            <w:gridSpan w:val="4"/>
            <w:noWrap w:val="0"/>
            <w:vAlign w:val="center"/>
          </w:tcPr>
          <w:p w14:paraId="2355EA14">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50</w:t>
            </w:r>
            <w:r>
              <w:rPr>
                <w:rFonts w:hint="eastAsia" w:ascii="宋体" w:hAnsi="宋体" w:eastAsia="宋体" w:cs="宋体"/>
                <w:b/>
                <w:color w:val="auto"/>
                <w:sz w:val="24"/>
                <w:szCs w:val="24"/>
                <w:highlight w:val="none"/>
              </w:rPr>
              <w:t>分）</w:t>
            </w:r>
          </w:p>
        </w:tc>
      </w:tr>
      <w:tr w14:paraId="452D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268A96AB">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50" w:type="dxa"/>
            <w:noWrap w:val="0"/>
            <w:vAlign w:val="center"/>
          </w:tcPr>
          <w:p w14:paraId="025910C9">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859" w:type="dxa"/>
            <w:noWrap w:val="0"/>
            <w:vAlign w:val="center"/>
          </w:tcPr>
          <w:p w14:paraId="1465280B">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50</w:t>
            </w:r>
          </w:p>
        </w:tc>
        <w:tc>
          <w:tcPr>
            <w:tcW w:w="6122" w:type="dxa"/>
            <w:noWrap w:val="0"/>
            <w:vAlign w:val="center"/>
          </w:tcPr>
          <w:p w14:paraId="79C5C442">
            <w:pPr>
              <w:keepNext w:val="0"/>
              <w:keepLines w:val="0"/>
              <w:pageBreakBefore w:val="0"/>
              <w:tabs>
                <w:tab w:val="left" w:pos="1200"/>
              </w:tabs>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要求且报价最低的报价为评标基准价，其价格分为满分。其他</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的价格分统一按照下列公式计算：价格分得分＝（评标基准价/报价）×分值。</w:t>
            </w:r>
          </w:p>
          <w:p w14:paraId="5E077482">
            <w:pPr>
              <w:keepNext w:val="0"/>
              <w:keepLines w:val="0"/>
              <w:pageBreakBefore w:val="0"/>
              <w:widowControl w:val="0"/>
              <w:kinsoku/>
              <w:wordWrap/>
              <w:overflowPunct/>
              <w:topLinePunct w:val="0"/>
              <w:autoSpaceDE w:val="0"/>
              <w:autoSpaceDN w:val="0"/>
              <w:bidi w:val="0"/>
              <w:spacing w:line="360" w:lineRule="auto"/>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tc>
      </w:tr>
      <w:tr w14:paraId="4354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18" w:type="dxa"/>
            <w:gridSpan w:val="4"/>
            <w:noWrap w:val="0"/>
            <w:vAlign w:val="center"/>
          </w:tcPr>
          <w:p w14:paraId="7297833B">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主观</w:t>
            </w:r>
            <w:r>
              <w:rPr>
                <w:rFonts w:hint="eastAsia" w:ascii="宋体" w:hAnsi="宋体" w:eastAsia="宋体" w:cs="宋体"/>
                <w:b/>
                <w:color w:val="auto"/>
                <w:sz w:val="24"/>
                <w:szCs w:val="24"/>
                <w:highlight w:val="none"/>
                <w:lang w:val="en-US" w:eastAsia="zh-CN"/>
              </w:rPr>
              <w:t>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分）</w:t>
            </w:r>
          </w:p>
        </w:tc>
      </w:tr>
      <w:tr w14:paraId="250C3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EA26914">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150" w:type="dxa"/>
            <w:shd w:val="clear" w:color="auto" w:fill="auto"/>
            <w:noWrap w:val="0"/>
            <w:vAlign w:val="center"/>
          </w:tcPr>
          <w:p w14:paraId="432E6CB4">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总体服务方案</w:t>
            </w:r>
          </w:p>
        </w:tc>
        <w:tc>
          <w:tcPr>
            <w:tcW w:w="859" w:type="dxa"/>
            <w:noWrap w:val="0"/>
            <w:vAlign w:val="center"/>
          </w:tcPr>
          <w:p w14:paraId="04D8E351">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6122" w:type="dxa"/>
            <w:noWrap w:val="0"/>
            <w:vAlign w:val="center"/>
          </w:tcPr>
          <w:p w14:paraId="0C1F6799">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评标委员会</w:t>
            </w:r>
            <w:r>
              <w:rPr>
                <w:rFonts w:hint="default" w:ascii="宋体" w:hAnsi="宋体" w:eastAsia="宋体" w:cs="宋体"/>
                <w:color w:val="auto"/>
                <w:sz w:val="24"/>
                <w:szCs w:val="24"/>
                <w:highlight w:val="none"/>
                <w:lang w:val="en-US" w:eastAsia="zh-CN" w:bidi="ar-SA"/>
              </w:rPr>
              <w:t>根据</w:t>
            </w:r>
            <w:r>
              <w:rPr>
                <w:rFonts w:hint="eastAsia" w:ascii="宋体" w:hAnsi="宋体" w:cs="宋体"/>
                <w:color w:val="auto"/>
                <w:sz w:val="24"/>
                <w:szCs w:val="24"/>
                <w:highlight w:val="none"/>
                <w:lang w:val="en-US" w:eastAsia="zh-CN" w:bidi="ar-SA"/>
              </w:rPr>
              <w:t>投标人</w:t>
            </w:r>
            <w:r>
              <w:rPr>
                <w:rFonts w:hint="default" w:ascii="宋体" w:hAnsi="宋体" w:eastAsia="宋体" w:cs="宋体"/>
                <w:color w:val="auto"/>
                <w:sz w:val="24"/>
                <w:szCs w:val="24"/>
                <w:highlight w:val="none"/>
                <w:lang w:val="en-US" w:eastAsia="zh-CN" w:bidi="ar-SA"/>
              </w:rPr>
              <w:t>提供的</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进行综合评审。</w:t>
            </w:r>
          </w:p>
          <w:p w14:paraId="384D1F13">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科学、严密、合理，描述详细且具有针对性的，得</w:t>
            </w:r>
            <w:r>
              <w:rPr>
                <w:rFonts w:hint="eastAsia" w:ascii="宋体" w:hAnsi="宋体" w:cs="宋体"/>
                <w:color w:val="auto"/>
                <w:sz w:val="24"/>
                <w:szCs w:val="24"/>
                <w:highlight w:val="none"/>
                <w:lang w:val="en-US" w:eastAsia="zh-CN" w:bidi="ar-SA"/>
              </w:rPr>
              <w:t>5</w:t>
            </w:r>
            <w:r>
              <w:rPr>
                <w:rFonts w:hint="default" w:ascii="宋体" w:hAnsi="宋体" w:eastAsia="宋体" w:cs="宋体"/>
                <w:color w:val="auto"/>
                <w:sz w:val="24"/>
                <w:szCs w:val="24"/>
                <w:highlight w:val="none"/>
                <w:lang w:val="en-US" w:eastAsia="zh-CN" w:bidi="ar-SA"/>
              </w:rPr>
              <w:t>分；</w:t>
            </w:r>
          </w:p>
          <w:p w14:paraId="1B347906">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较合理、严密、描述较为详细，不存在实施难度的，得</w:t>
            </w:r>
            <w:r>
              <w:rPr>
                <w:rFonts w:hint="eastAsia" w:ascii="宋体" w:hAnsi="宋体" w:cs="宋体"/>
                <w:color w:val="auto"/>
                <w:sz w:val="24"/>
                <w:szCs w:val="24"/>
                <w:highlight w:val="none"/>
                <w:lang w:val="en-US" w:eastAsia="zh-CN" w:bidi="ar-SA"/>
              </w:rPr>
              <w:t>4</w:t>
            </w:r>
            <w:r>
              <w:rPr>
                <w:rFonts w:hint="default" w:ascii="宋体" w:hAnsi="宋体" w:eastAsia="宋体" w:cs="宋体"/>
                <w:color w:val="auto"/>
                <w:sz w:val="24"/>
                <w:szCs w:val="24"/>
                <w:highlight w:val="none"/>
                <w:lang w:val="en-US" w:eastAsia="zh-CN" w:bidi="ar-SA"/>
              </w:rPr>
              <w:t>分；</w:t>
            </w:r>
          </w:p>
          <w:p w14:paraId="30570BBB">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基本合理、描述一般、存在可操作性的，得</w:t>
            </w:r>
            <w:r>
              <w:rPr>
                <w:rFonts w:hint="eastAsia" w:ascii="宋体" w:hAnsi="宋体" w:cs="宋体"/>
                <w:color w:val="auto"/>
                <w:sz w:val="24"/>
                <w:szCs w:val="24"/>
                <w:highlight w:val="none"/>
                <w:lang w:val="en-US" w:eastAsia="zh-CN" w:bidi="ar-SA"/>
              </w:rPr>
              <w:t>3</w:t>
            </w:r>
            <w:r>
              <w:rPr>
                <w:rFonts w:hint="default" w:ascii="宋体" w:hAnsi="宋体" w:eastAsia="宋体" w:cs="宋体"/>
                <w:color w:val="auto"/>
                <w:sz w:val="24"/>
                <w:szCs w:val="24"/>
                <w:highlight w:val="none"/>
                <w:lang w:val="en-US" w:eastAsia="zh-CN" w:bidi="ar-SA"/>
              </w:rPr>
              <w:t>分；</w:t>
            </w:r>
          </w:p>
          <w:p w14:paraId="0DC700FE">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（4）</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具有不合理项、描述略欠缺、存在一定的实施难度的，得</w:t>
            </w:r>
            <w:r>
              <w:rPr>
                <w:rFonts w:hint="eastAsia" w:ascii="宋体" w:hAnsi="宋体" w:cs="宋体"/>
                <w:color w:val="auto"/>
                <w:sz w:val="24"/>
                <w:szCs w:val="24"/>
                <w:highlight w:val="none"/>
                <w:lang w:val="en-US" w:eastAsia="zh-CN" w:bidi="ar-SA"/>
              </w:rPr>
              <w:t>2</w:t>
            </w:r>
            <w:r>
              <w:rPr>
                <w:rFonts w:hint="default" w:ascii="宋体" w:hAnsi="宋体" w:eastAsia="宋体" w:cs="宋体"/>
                <w:color w:val="auto"/>
                <w:sz w:val="24"/>
                <w:szCs w:val="24"/>
                <w:highlight w:val="none"/>
                <w:lang w:val="en-US" w:eastAsia="zh-CN" w:bidi="ar-SA"/>
              </w:rPr>
              <w:t>分；</w:t>
            </w:r>
          </w:p>
          <w:p w14:paraId="07643FF0">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（5）</w:t>
            </w:r>
            <w:r>
              <w:rPr>
                <w:rFonts w:hint="eastAsia" w:ascii="宋体" w:hAnsi="宋体" w:cs="宋体"/>
                <w:color w:val="auto"/>
                <w:sz w:val="24"/>
                <w:szCs w:val="24"/>
                <w:highlight w:val="none"/>
                <w:lang w:val="en-US" w:eastAsia="zh-CN" w:bidi="ar-SA"/>
              </w:rPr>
              <w:t>总体服务方案</w:t>
            </w:r>
            <w:r>
              <w:rPr>
                <w:rFonts w:hint="default" w:ascii="宋体" w:hAnsi="宋体" w:eastAsia="宋体" w:cs="宋体"/>
                <w:color w:val="auto"/>
                <w:sz w:val="24"/>
                <w:szCs w:val="24"/>
                <w:highlight w:val="none"/>
                <w:lang w:val="en-US" w:eastAsia="zh-CN" w:bidi="ar-SA"/>
              </w:rPr>
              <w:t>具有明显不合理项、描述欠缺、存在实施难度的，得</w:t>
            </w:r>
            <w:r>
              <w:rPr>
                <w:rFonts w:hint="eastAsia" w:ascii="宋体" w:hAnsi="宋体" w:cs="宋体"/>
                <w:color w:val="auto"/>
                <w:sz w:val="24"/>
                <w:szCs w:val="24"/>
                <w:highlight w:val="none"/>
                <w:lang w:val="en-US" w:eastAsia="zh-CN" w:bidi="ar-SA"/>
              </w:rPr>
              <w:t>1</w:t>
            </w:r>
            <w:r>
              <w:rPr>
                <w:rFonts w:hint="default" w:ascii="宋体" w:hAnsi="宋体" w:eastAsia="宋体" w:cs="宋体"/>
                <w:color w:val="auto"/>
                <w:sz w:val="24"/>
                <w:szCs w:val="24"/>
                <w:highlight w:val="none"/>
                <w:lang w:val="en-US" w:eastAsia="zh-CN" w:bidi="ar-SA"/>
              </w:rPr>
              <w:t>分；</w:t>
            </w:r>
          </w:p>
          <w:p w14:paraId="2401FFF8">
            <w:pPr>
              <w:keepNext w:val="0"/>
              <w:keepLines w:val="0"/>
              <w:pageBreakBefore w:val="0"/>
              <w:kinsoku/>
              <w:wordWrap/>
              <w:overflowPunct/>
              <w:topLinePunct w:val="0"/>
              <w:autoSpaceDE w:val="0"/>
              <w:autoSpaceDN w:val="0"/>
              <w:bidi w:val="0"/>
              <w:spacing w:line="360" w:lineRule="auto"/>
              <w:textAlignment w:val="auto"/>
              <w:outlineLvl w:val="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（6）不符合</w:t>
            </w:r>
            <w:r>
              <w:rPr>
                <w:rFonts w:hint="eastAsia" w:ascii="宋体" w:hAnsi="宋体" w:cs="宋体"/>
                <w:color w:val="auto"/>
                <w:sz w:val="24"/>
                <w:szCs w:val="24"/>
                <w:highlight w:val="none"/>
                <w:lang w:val="en-US" w:eastAsia="zh-CN" w:bidi="ar-SA"/>
              </w:rPr>
              <w:t>招标文件</w:t>
            </w:r>
            <w:r>
              <w:rPr>
                <w:rFonts w:hint="default" w:ascii="宋体" w:hAnsi="宋体" w:eastAsia="宋体" w:cs="宋体"/>
                <w:color w:val="auto"/>
                <w:sz w:val="24"/>
                <w:szCs w:val="24"/>
                <w:highlight w:val="none"/>
                <w:lang w:val="en-US" w:eastAsia="zh-CN" w:bidi="ar-SA"/>
              </w:rPr>
              <w:t>要求或未提供的不得分。</w:t>
            </w:r>
          </w:p>
        </w:tc>
      </w:tr>
      <w:tr w14:paraId="36F04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1A814283">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150" w:type="dxa"/>
            <w:shd w:val="clear" w:color="auto" w:fill="auto"/>
            <w:noWrap w:val="0"/>
            <w:vAlign w:val="center"/>
          </w:tcPr>
          <w:p w14:paraId="152ABD6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bCs/>
                <w:color w:val="auto"/>
                <w:kern w:val="0"/>
                <w:sz w:val="24"/>
                <w:szCs w:val="24"/>
                <w:highlight w:val="none"/>
                <w:lang w:val="en-US" w:eastAsia="zh-CN" w:bidi="ar-SA"/>
              </w:rPr>
              <w:t>人员组织架构</w:t>
            </w:r>
          </w:p>
        </w:tc>
        <w:tc>
          <w:tcPr>
            <w:tcW w:w="859" w:type="dxa"/>
            <w:noWrap w:val="0"/>
            <w:vAlign w:val="center"/>
          </w:tcPr>
          <w:p w14:paraId="539981EC">
            <w:pPr>
              <w:keepNext w:val="0"/>
              <w:keepLines w:val="0"/>
              <w:pageBreakBefore w:val="0"/>
              <w:kinsoku/>
              <w:wordWrap/>
              <w:overflowPunct/>
              <w:topLinePunct w:val="0"/>
              <w:autoSpaceDE w:val="0"/>
              <w:autoSpaceDN w:val="0"/>
              <w:bidi w:val="0"/>
              <w:adjustRightInd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5</w:t>
            </w:r>
          </w:p>
        </w:tc>
        <w:tc>
          <w:tcPr>
            <w:tcW w:w="6122" w:type="dxa"/>
            <w:noWrap w:val="0"/>
            <w:vAlign w:val="center"/>
          </w:tcPr>
          <w:p w14:paraId="602F93F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人员组织架构（包括：规章制度、岗位职责、岗位分工、工作流程、培训计划等）</w:t>
            </w:r>
            <w:r>
              <w:rPr>
                <w:rFonts w:hint="eastAsia" w:ascii="宋体" w:hAnsi="宋体" w:eastAsia="宋体" w:cs="宋体"/>
                <w:color w:val="auto"/>
                <w:kern w:val="0"/>
                <w:sz w:val="24"/>
                <w:highlight w:val="none"/>
                <w:lang w:val="zh-CN"/>
              </w:rPr>
              <w:t>进行综合评审。</w:t>
            </w:r>
          </w:p>
          <w:p w14:paraId="44A0BD1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组织构架和岗位职责完整、制度建设健全</w:t>
            </w:r>
            <w:r>
              <w:rPr>
                <w:rFonts w:hint="eastAsia" w:ascii="宋体" w:hAnsi="宋体" w:eastAsia="宋体" w:cs="宋体"/>
                <w:color w:val="auto"/>
                <w:kern w:val="0"/>
                <w:sz w:val="24"/>
                <w:highlight w:val="none"/>
                <w:lang w:val="zh-CN"/>
              </w:rPr>
              <w:t>的，得</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分；</w:t>
            </w:r>
          </w:p>
          <w:p w14:paraId="01517849">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组织构架和岗位职责比较完整、制度建设比较健全</w:t>
            </w:r>
            <w:r>
              <w:rPr>
                <w:rFonts w:hint="eastAsia" w:ascii="宋体" w:hAnsi="宋体" w:eastAsia="宋体" w:cs="宋体"/>
                <w:color w:val="auto"/>
                <w:kern w:val="0"/>
                <w:sz w:val="24"/>
                <w:highlight w:val="none"/>
                <w:lang w:val="zh-CN"/>
              </w:rPr>
              <w:t>的，得</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zh-CN"/>
              </w:rPr>
              <w:t>分；</w:t>
            </w:r>
          </w:p>
          <w:p w14:paraId="2F76CFF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组织构架、岗位职责、制度建设</w:t>
            </w:r>
            <w:r>
              <w:rPr>
                <w:rFonts w:hint="eastAsia" w:ascii="宋体" w:hAnsi="宋体" w:eastAsia="宋体" w:cs="宋体"/>
                <w:color w:val="auto"/>
                <w:kern w:val="0"/>
                <w:sz w:val="24"/>
                <w:szCs w:val="24"/>
                <w:highlight w:val="none"/>
                <w:lang w:val="en-US" w:eastAsia="zh-CN" w:bidi="ar-SA"/>
              </w:rPr>
              <w:t>一般</w:t>
            </w:r>
            <w:r>
              <w:rPr>
                <w:rFonts w:hint="eastAsia" w:ascii="宋体" w:hAnsi="宋体" w:eastAsia="宋体" w:cs="宋体"/>
                <w:color w:val="auto"/>
                <w:kern w:val="0"/>
                <w:sz w:val="24"/>
                <w:szCs w:val="24"/>
                <w:highlight w:val="none"/>
                <w:lang w:val="zh-Hans" w:eastAsia="zh-CN" w:bidi="ar-SA"/>
              </w:rPr>
              <w:t>的</w:t>
            </w:r>
            <w:r>
              <w:rPr>
                <w:rFonts w:hint="eastAsia" w:ascii="宋体" w:hAnsi="宋体" w:eastAsia="宋体" w:cs="宋体"/>
                <w:color w:val="auto"/>
                <w:kern w:val="0"/>
                <w:sz w:val="24"/>
                <w:highlight w:val="none"/>
                <w:lang w:val="zh-CN"/>
              </w:rPr>
              <w:t>，得</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zh-CN"/>
              </w:rPr>
              <w:t>分；</w:t>
            </w:r>
          </w:p>
          <w:p w14:paraId="65B244E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hint="eastAsia" w:ascii="宋体" w:hAnsi="宋体" w:cs="宋体"/>
                <w:bCs/>
                <w:color w:val="auto"/>
                <w:kern w:val="0"/>
                <w:sz w:val="24"/>
                <w:szCs w:val="24"/>
                <w:highlight w:val="none"/>
                <w:lang w:val="en-US" w:eastAsia="zh-CN" w:bidi="ar-SA"/>
              </w:rPr>
              <w:t>人员</w:t>
            </w:r>
            <w:r>
              <w:rPr>
                <w:rFonts w:hint="eastAsia" w:ascii="宋体" w:hAnsi="宋体" w:eastAsia="宋体" w:cs="宋体"/>
                <w:color w:val="auto"/>
                <w:kern w:val="0"/>
                <w:sz w:val="24"/>
                <w:szCs w:val="24"/>
                <w:highlight w:val="none"/>
                <w:lang w:val="zh-Hans" w:eastAsia="zh-CN" w:bidi="ar-SA"/>
              </w:rPr>
              <w:t>组织构架、岗位职责及制度建设不健全有欠缺的</w:t>
            </w:r>
            <w:r>
              <w:rPr>
                <w:rFonts w:hint="eastAsia" w:ascii="宋体" w:hAnsi="宋体" w:eastAsia="宋体" w:cs="宋体"/>
                <w:color w:val="auto"/>
                <w:kern w:val="0"/>
                <w:sz w:val="24"/>
                <w:highlight w:val="none"/>
                <w:lang w:val="zh-CN"/>
              </w:rPr>
              <w:t>，得</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zh-CN"/>
              </w:rPr>
              <w:t>分；</w:t>
            </w:r>
          </w:p>
          <w:p w14:paraId="7F722C4D">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highlight w:val="none"/>
                <w:lang w:val="zh-CN"/>
              </w:rPr>
              <w:t>（5）不符合</w:t>
            </w:r>
            <w:r>
              <w:rPr>
                <w:rFonts w:hint="eastAsia" w:ascii="宋体" w:hAnsi="宋体" w:cs="宋体"/>
                <w:color w:val="auto"/>
                <w:kern w:val="0"/>
                <w:sz w:val="24"/>
                <w:highlight w:val="none"/>
                <w:lang w:val="zh-CN"/>
              </w:rPr>
              <w:t>招标文件</w:t>
            </w:r>
            <w:r>
              <w:rPr>
                <w:rFonts w:hint="eastAsia" w:ascii="宋体" w:hAnsi="宋体" w:eastAsia="宋体" w:cs="宋体"/>
                <w:color w:val="auto"/>
                <w:kern w:val="0"/>
                <w:sz w:val="24"/>
                <w:highlight w:val="none"/>
                <w:lang w:val="zh-CN"/>
              </w:rPr>
              <w:t>要求或未提供的不得分。</w:t>
            </w:r>
          </w:p>
        </w:tc>
      </w:tr>
      <w:tr w14:paraId="3CC53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735855C9">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150" w:type="dxa"/>
            <w:shd w:val="clear" w:color="auto" w:fill="auto"/>
            <w:noWrap w:val="0"/>
            <w:vAlign w:val="center"/>
          </w:tcPr>
          <w:p w14:paraId="2AF30E02">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cs="宋体"/>
                <w:bCs/>
                <w:color w:val="auto"/>
                <w:kern w:val="0"/>
                <w:sz w:val="24"/>
                <w:szCs w:val="24"/>
                <w:highlight w:val="none"/>
                <w:lang w:val="en-US" w:eastAsia="zh-CN" w:bidi="ar-SA"/>
              </w:rPr>
              <w:t>秩序维护服务方案</w:t>
            </w:r>
          </w:p>
        </w:tc>
        <w:tc>
          <w:tcPr>
            <w:tcW w:w="859" w:type="dxa"/>
            <w:shd w:val="clear" w:color="auto" w:fill="auto"/>
            <w:noWrap w:val="0"/>
            <w:vAlign w:val="center"/>
          </w:tcPr>
          <w:p w14:paraId="78877811">
            <w:pPr>
              <w:keepNext w:val="0"/>
              <w:keepLines w:val="0"/>
              <w:pageBreakBefore w:val="0"/>
              <w:kinsoku/>
              <w:wordWrap/>
              <w:overflowPunct/>
              <w:topLinePunct w:val="0"/>
              <w:autoSpaceDE w:val="0"/>
              <w:autoSpaceDN w:val="0"/>
              <w:bidi w:val="0"/>
              <w:adjustRightInd w:val="0"/>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6122" w:type="dxa"/>
            <w:shd w:val="clear" w:color="auto" w:fill="auto"/>
            <w:noWrap w:val="0"/>
            <w:vAlign w:val="top"/>
          </w:tcPr>
          <w:p w14:paraId="165153D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评标委员会</w:t>
            </w:r>
            <w:r>
              <w:rPr>
                <w:rFonts w:hint="default" w:ascii="宋体" w:hAnsi="宋体" w:cs="宋体"/>
                <w:color w:val="auto"/>
                <w:kern w:val="0"/>
                <w:sz w:val="24"/>
                <w:szCs w:val="24"/>
                <w:highlight w:val="none"/>
                <w:lang w:val="en-US" w:eastAsia="zh-CN" w:bidi="ar-SA"/>
              </w:rPr>
              <w:t>根据</w:t>
            </w:r>
            <w:r>
              <w:rPr>
                <w:rFonts w:hint="eastAsia" w:ascii="宋体" w:hAnsi="宋体" w:cs="宋体"/>
                <w:color w:val="auto"/>
                <w:kern w:val="0"/>
                <w:sz w:val="24"/>
                <w:szCs w:val="24"/>
                <w:highlight w:val="none"/>
                <w:lang w:val="en-US" w:eastAsia="zh-CN" w:bidi="ar-SA"/>
              </w:rPr>
              <w:t>投标人</w:t>
            </w:r>
            <w:r>
              <w:rPr>
                <w:rFonts w:hint="default" w:ascii="宋体" w:hAnsi="宋体" w:cs="宋体"/>
                <w:color w:val="auto"/>
                <w:kern w:val="0"/>
                <w:sz w:val="24"/>
                <w:szCs w:val="24"/>
                <w:highlight w:val="none"/>
                <w:lang w:val="en-US" w:eastAsia="zh-CN" w:bidi="ar-SA"/>
              </w:rPr>
              <w:t>提供的</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进行综合评审。</w:t>
            </w:r>
          </w:p>
          <w:p w14:paraId="4BBD55E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05040ED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3</w:t>
            </w:r>
            <w:r>
              <w:rPr>
                <w:rFonts w:hint="default" w:ascii="宋体" w:hAnsi="宋体" w:cs="宋体"/>
                <w:color w:val="auto"/>
                <w:kern w:val="0"/>
                <w:sz w:val="24"/>
                <w:szCs w:val="24"/>
                <w:highlight w:val="none"/>
                <w:lang w:val="en-US" w:eastAsia="zh-CN" w:bidi="ar-SA"/>
              </w:rPr>
              <w:t>分；</w:t>
            </w:r>
          </w:p>
          <w:p w14:paraId="332C2A49">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2</w:t>
            </w:r>
            <w:r>
              <w:rPr>
                <w:rFonts w:hint="default" w:ascii="宋体" w:hAnsi="宋体" w:cs="宋体"/>
                <w:color w:val="auto"/>
                <w:kern w:val="0"/>
                <w:sz w:val="24"/>
                <w:szCs w:val="24"/>
                <w:highlight w:val="none"/>
                <w:lang w:val="en-US" w:eastAsia="zh-CN" w:bidi="ar-SA"/>
              </w:rPr>
              <w:t>分；</w:t>
            </w:r>
          </w:p>
          <w:p w14:paraId="648EEC83">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秩序维护服务方案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w:t>
            </w:r>
            <w:r>
              <w:rPr>
                <w:rFonts w:hint="default" w:ascii="宋体" w:hAnsi="宋体" w:cs="宋体"/>
                <w:color w:val="auto"/>
                <w:kern w:val="0"/>
                <w:sz w:val="24"/>
                <w:szCs w:val="24"/>
                <w:highlight w:val="none"/>
                <w:lang w:val="en-US" w:eastAsia="zh-CN" w:bidi="ar-SA"/>
              </w:rPr>
              <w:t>分；</w:t>
            </w:r>
          </w:p>
          <w:p w14:paraId="5179EEF3">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6959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5CB96A50">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150" w:type="dxa"/>
            <w:shd w:val="clear" w:color="auto" w:fill="auto"/>
            <w:noWrap w:val="0"/>
            <w:vAlign w:val="center"/>
          </w:tcPr>
          <w:p w14:paraId="735B7A7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装备</w:t>
            </w:r>
          </w:p>
          <w:p w14:paraId="3822B710">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配置方案</w:t>
            </w:r>
          </w:p>
        </w:tc>
        <w:tc>
          <w:tcPr>
            <w:tcW w:w="859" w:type="dxa"/>
            <w:noWrap w:val="0"/>
            <w:vAlign w:val="center"/>
          </w:tcPr>
          <w:p w14:paraId="25C61451">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6122" w:type="dxa"/>
            <w:noWrap w:val="0"/>
            <w:vAlign w:val="center"/>
          </w:tcPr>
          <w:p w14:paraId="7D052BD3">
            <w:pPr>
              <w:keepNext w:val="0"/>
              <w:keepLines w:val="0"/>
              <w:pageBreakBefore w:val="0"/>
              <w:widowControl/>
              <w:tabs>
                <w:tab w:val="left" w:pos="1200"/>
              </w:tabs>
              <w:kinsoku/>
              <w:wordWrap/>
              <w:overflowPunct/>
              <w:topLinePunct w:val="0"/>
              <w:autoSpaceDE w:val="0"/>
              <w:autoSpaceDN w:val="0"/>
              <w:bidi w:val="0"/>
              <w:spacing w:line="360" w:lineRule="auto"/>
              <w:jc w:val="both"/>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color w:val="auto"/>
                <w:sz w:val="24"/>
                <w:szCs w:val="24"/>
                <w:highlight w:val="none"/>
                <w:lang w:val="en-US" w:eastAsia="zh-CN"/>
              </w:rPr>
              <w:t>装备配置方案</w:t>
            </w:r>
            <w:r>
              <w:rPr>
                <w:rFonts w:hint="eastAsia" w:ascii="宋体" w:hAnsi="宋体" w:eastAsia="宋体" w:cs="宋体"/>
                <w:color w:val="auto"/>
                <w:kern w:val="0"/>
                <w:sz w:val="24"/>
                <w:highlight w:val="none"/>
                <w:lang w:val="zh-CN"/>
              </w:rPr>
              <w:t>进行综合评审。</w:t>
            </w:r>
          </w:p>
          <w:p w14:paraId="0014DFF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5178FE80">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3</w:t>
            </w:r>
            <w:r>
              <w:rPr>
                <w:rFonts w:hint="default" w:ascii="宋体" w:hAnsi="宋体" w:cs="宋体"/>
                <w:color w:val="auto"/>
                <w:kern w:val="0"/>
                <w:sz w:val="24"/>
                <w:szCs w:val="24"/>
                <w:highlight w:val="none"/>
                <w:lang w:val="en-US" w:eastAsia="zh-CN" w:bidi="ar-SA"/>
              </w:rPr>
              <w:t>分；</w:t>
            </w:r>
          </w:p>
          <w:p w14:paraId="702EF08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2</w:t>
            </w:r>
            <w:r>
              <w:rPr>
                <w:rFonts w:hint="default" w:ascii="宋体" w:hAnsi="宋体" w:cs="宋体"/>
                <w:color w:val="auto"/>
                <w:kern w:val="0"/>
                <w:sz w:val="24"/>
                <w:szCs w:val="24"/>
                <w:highlight w:val="none"/>
                <w:lang w:val="en-US" w:eastAsia="zh-CN" w:bidi="ar-SA"/>
              </w:rPr>
              <w:t>分；</w:t>
            </w:r>
          </w:p>
          <w:p w14:paraId="4165D5CE">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设施设备服务方案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w:t>
            </w:r>
            <w:r>
              <w:rPr>
                <w:rFonts w:hint="default" w:ascii="宋体" w:hAnsi="宋体" w:cs="宋体"/>
                <w:color w:val="auto"/>
                <w:kern w:val="0"/>
                <w:sz w:val="24"/>
                <w:szCs w:val="24"/>
                <w:highlight w:val="none"/>
                <w:lang w:val="en-US" w:eastAsia="zh-CN" w:bidi="ar-SA"/>
              </w:rPr>
              <w:t>分；</w:t>
            </w:r>
          </w:p>
          <w:p w14:paraId="5A31025D">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en-US"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7377D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DBA043A">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50" w:type="dxa"/>
            <w:shd w:val="clear" w:color="auto" w:fill="auto"/>
            <w:noWrap w:val="0"/>
            <w:vAlign w:val="center"/>
          </w:tcPr>
          <w:p w14:paraId="55212EEF">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应急事件处理预案</w:t>
            </w:r>
          </w:p>
        </w:tc>
        <w:tc>
          <w:tcPr>
            <w:tcW w:w="859" w:type="dxa"/>
            <w:shd w:val="clear" w:color="auto" w:fill="auto"/>
            <w:noWrap w:val="0"/>
            <w:vAlign w:val="center"/>
          </w:tcPr>
          <w:p w14:paraId="3107E9DF">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6122" w:type="dxa"/>
            <w:shd w:val="clear" w:color="auto" w:fill="auto"/>
            <w:noWrap w:val="0"/>
            <w:vAlign w:val="center"/>
          </w:tcPr>
          <w:p w14:paraId="6171136C">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color w:val="auto"/>
                <w:kern w:val="0"/>
                <w:sz w:val="24"/>
                <w:highlight w:val="none"/>
                <w:lang w:val="zh-CN"/>
              </w:rPr>
            </w:pPr>
            <w:r>
              <w:rPr>
                <w:rFonts w:hint="eastAsia" w:ascii="宋体" w:hAnsi="宋体" w:cs="宋体"/>
                <w:color w:val="auto"/>
                <w:kern w:val="0"/>
                <w:sz w:val="24"/>
                <w:highlight w:val="none"/>
                <w:lang w:val="zh-CN"/>
              </w:rPr>
              <w:t>评标委员会</w:t>
            </w:r>
            <w:r>
              <w:rPr>
                <w:rFonts w:hint="eastAsia" w:ascii="宋体" w:hAnsi="宋体" w:eastAsia="宋体" w:cs="宋体"/>
                <w:color w:val="auto"/>
                <w:kern w:val="0"/>
                <w:sz w:val="24"/>
                <w:highlight w:val="none"/>
                <w:lang w:val="zh-CN"/>
              </w:rPr>
              <w:t>根据</w:t>
            </w:r>
            <w:r>
              <w:rPr>
                <w:rFonts w:hint="eastAsia" w:ascii="宋体" w:hAnsi="宋体" w:cs="宋体"/>
                <w:color w:val="auto"/>
                <w:kern w:val="0"/>
                <w:sz w:val="24"/>
                <w:highlight w:val="none"/>
                <w:lang w:val="zh-CN"/>
              </w:rPr>
              <w:t>投标人</w:t>
            </w:r>
            <w:r>
              <w:rPr>
                <w:rFonts w:hint="eastAsia" w:ascii="宋体" w:hAnsi="宋体" w:eastAsia="宋体" w:cs="宋体"/>
                <w:color w:val="auto"/>
                <w:kern w:val="0"/>
                <w:sz w:val="24"/>
                <w:highlight w:val="none"/>
                <w:lang w:val="zh-CN"/>
              </w:rPr>
              <w:t>提供的</w:t>
            </w:r>
            <w:r>
              <w:rPr>
                <w:rFonts w:hint="eastAsia" w:ascii="宋体" w:hAnsi="宋体" w:cs="宋体"/>
                <w:bCs/>
                <w:color w:val="auto"/>
                <w:kern w:val="0"/>
                <w:sz w:val="24"/>
                <w:szCs w:val="24"/>
                <w:highlight w:val="none"/>
                <w:lang w:val="en-US" w:eastAsia="zh-CN" w:bidi="ar-SA"/>
              </w:rPr>
              <w:t>应急事件处理预案</w:t>
            </w:r>
            <w:r>
              <w:rPr>
                <w:rFonts w:hint="eastAsia" w:ascii="宋体" w:hAnsi="宋体" w:eastAsia="宋体" w:cs="宋体"/>
                <w:color w:val="auto"/>
                <w:kern w:val="0"/>
                <w:sz w:val="24"/>
                <w:highlight w:val="none"/>
                <w:lang w:val="zh-CN"/>
              </w:rPr>
              <w:t>进行综合评审。</w:t>
            </w:r>
          </w:p>
          <w:p w14:paraId="38B83C5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完整，能完全满足项目实施要求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4</w:t>
            </w:r>
            <w:r>
              <w:rPr>
                <w:rFonts w:hint="default" w:ascii="宋体" w:hAnsi="宋体" w:cs="宋体"/>
                <w:color w:val="auto"/>
                <w:kern w:val="0"/>
                <w:sz w:val="24"/>
                <w:szCs w:val="24"/>
                <w:highlight w:val="none"/>
                <w:lang w:val="en-US" w:eastAsia="zh-CN" w:bidi="ar-SA"/>
              </w:rPr>
              <w:t>分；</w:t>
            </w:r>
          </w:p>
          <w:p w14:paraId="133A7095">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（2）</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较具体，能基本满足项目实施要求</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3</w:t>
            </w:r>
            <w:r>
              <w:rPr>
                <w:rFonts w:hint="default" w:ascii="宋体" w:hAnsi="宋体" w:cs="宋体"/>
                <w:color w:val="auto"/>
                <w:kern w:val="0"/>
                <w:sz w:val="24"/>
                <w:szCs w:val="24"/>
                <w:highlight w:val="none"/>
                <w:lang w:val="en-US" w:eastAsia="zh-CN" w:bidi="ar-SA"/>
              </w:rPr>
              <w:t>分；</w:t>
            </w:r>
          </w:p>
          <w:p w14:paraId="55FA086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（3）</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较简单，对项目实施要求响应一般</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2</w:t>
            </w:r>
            <w:r>
              <w:rPr>
                <w:rFonts w:hint="default" w:ascii="宋体" w:hAnsi="宋体" w:cs="宋体"/>
                <w:color w:val="auto"/>
                <w:kern w:val="0"/>
                <w:sz w:val="24"/>
                <w:szCs w:val="24"/>
                <w:highlight w:val="none"/>
                <w:lang w:val="en-US" w:eastAsia="zh-CN" w:bidi="ar-SA"/>
              </w:rPr>
              <w:t>分；</w:t>
            </w:r>
          </w:p>
          <w:p w14:paraId="14A2DCDA">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default" w:ascii="宋体" w:hAnsi="宋体" w:cs="宋体"/>
                <w:color w:val="auto"/>
                <w:kern w:val="0"/>
                <w:sz w:val="24"/>
                <w:szCs w:val="24"/>
                <w:highlight w:val="none"/>
                <w:lang w:val="en-US" w:eastAsia="zh-CN" w:bidi="ar-SA"/>
              </w:rPr>
            </w:pPr>
            <w:r>
              <w:rPr>
                <w:rFonts w:hint="default" w:ascii="宋体" w:hAnsi="宋体" w:cs="宋体"/>
                <w:color w:val="auto"/>
                <w:kern w:val="0"/>
                <w:sz w:val="24"/>
                <w:szCs w:val="24"/>
                <w:highlight w:val="none"/>
                <w:lang w:val="en-US" w:eastAsia="zh-CN" w:bidi="ar-SA"/>
              </w:rPr>
              <w:t>（4）</w:t>
            </w:r>
            <w:r>
              <w:rPr>
                <w:rFonts w:hint="eastAsia" w:ascii="宋体" w:hAnsi="宋体" w:cs="宋体"/>
                <w:bCs/>
                <w:color w:val="auto"/>
                <w:kern w:val="0"/>
                <w:sz w:val="24"/>
                <w:szCs w:val="24"/>
                <w:highlight w:val="none"/>
                <w:lang w:val="en-US" w:eastAsia="zh-CN" w:bidi="ar-SA"/>
              </w:rPr>
              <w:t>应急事件处理预案</w:t>
            </w:r>
            <w:r>
              <w:rPr>
                <w:rFonts w:hint="default" w:ascii="宋体" w:hAnsi="宋体" w:cs="宋体"/>
                <w:color w:val="auto"/>
                <w:kern w:val="0"/>
                <w:sz w:val="24"/>
                <w:szCs w:val="24"/>
                <w:highlight w:val="none"/>
                <w:lang w:val="en-US" w:eastAsia="zh-CN" w:bidi="ar-SA"/>
              </w:rPr>
              <w:t>较差、无针对性</w:t>
            </w:r>
            <w:r>
              <w:rPr>
                <w:rFonts w:hint="eastAsia" w:ascii="宋体" w:hAnsi="宋体" w:cs="宋体"/>
                <w:color w:val="auto"/>
                <w:kern w:val="0"/>
                <w:sz w:val="24"/>
                <w:szCs w:val="24"/>
                <w:highlight w:val="none"/>
                <w:lang w:val="en-US" w:eastAsia="zh-CN" w:bidi="ar-SA"/>
              </w:rPr>
              <w:t>的</w:t>
            </w:r>
            <w:r>
              <w:rPr>
                <w:rFonts w:hint="default" w:ascii="宋体" w:hAnsi="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1</w:t>
            </w:r>
            <w:r>
              <w:rPr>
                <w:rFonts w:hint="default" w:ascii="宋体" w:hAnsi="宋体" w:cs="宋体"/>
                <w:color w:val="auto"/>
                <w:kern w:val="0"/>
                <w:sz w:val="24"/>
                <w:szCs w:val="24"/>
                <w:highlight w:val="none"/>
                <w:lang w:val="en-US" w:eastAsia="zh-CN" w:bidi="ar-SA"/>
              </w:rPr>
              <w:t>分；</w:t>
            </w:r>
          </w:p>
          <w:p w14:paraId="42410082">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sz w:val="24"/>
                <w:szCs w:val="24"/>
                <w:highlight w:val="none"/>
                <w:lang w:val="zh-CN" w:eastAsia="zh-CN" w:bidi="ar-SA"/>
              </w:rPr>
            </w:pPr>
            <w:r>
              <w:rPr>
                <w:rFonts w:hint="default" w:ascii="宋体" w:hAnsi="宋体" w:cs="宋体"/>
                <w:color w:val="auto"/>
                <w:kern w:val="0"/>
                <w:sz w:val="24"/>
                <w:szCs w:val="24"/>
                <w:highlight w:val="none"/>
                <w:lang w:val="en-US" w:eastAsia="zh-CN" w:bidi="ar-SA"/>
              </w:rPr>
              <w:t>（5）不符合</w:t>
            </w:r>
            <w:r>
              <w:rPr>
                <w:rFonts w:hint="eastAsia" w:ascii="宋体" w:hAnsi="宋体" w:cs="宋体"/>
                <w:color w:val="auto"/>
                <w:kern w:val="0"/>
                <w:sz w:val="24"/>
                <w:szCs w:val="24"/>
                <w:highlight w:val="none"/>
                <w:lang w:val="en-US" w:eastAsia="zh-CN" w:bidi="ar-SA"/>
              </w:rPr>
              <w:t>招标文件</w:t>
            </w:r>
            <w:r>
              <w:rPr>
                <w:rFonts w:hint="default" w:ascii="宋体" w:hAnsi="宋体" w:cs="宋体"/>
                <w:color w:val="auto"/>
                <w:kern w:val="0"/>
                <w:sz w:val="24"/>
                <w:szCs w:val="24"/>
                <w:highlight w:val="none"/>
                <w:lang w:val="en-US" w:eastAsia="zh-CN" w:bidi="ar-SA"/>
              </w:rPr>
              <w:t>要求或未提供方案的不得分。</w:t>
            </w:r>
          </w:p>
        </w:tc>
      </w:tr>
      <w:tr w14:paraId="06A2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18" w:type="dxa"/>
            <w:gridSpan w:val="4"/>
            <w:noWrap w:val="0"/>
            <w:vAlign w:val="center"/>
          </w:tcPr>
          <w:p w14:paraId="652FFE3C">
            <w:pPr>
              <w:keepNext w:val="0"/>
              <w:keepLines w:val="0"/>
              <w:pageBreakBefore w:val="0"/>
              <w:tabs>
                <w:tab w:val="left" w:pos="426"/>
              </w:tabs>
              <w:kinsoku/>
              <w:wordWrap/>
              <w:overflowPunct/>
              <w:topLinePunct w:val="0"/>
              <w:autoSpaceDE w:val="0"/>
              <w:autoSpaceDN w:val="0"/>
              <w:bidi w:val="0"/>
              <w:spacing w:line="360" w:lineRule="auto"/>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客</w:t>
            </w:r>
            <w:r>
              <w:rPr>
                <w:rFonts w:hint="eastAsia" w:ascii="宋体" w:hAnsi="宋体" w:eastAsia="宋体" w:cs="宋体"/>
                <w:b/>
                <w:color w:val="auto"/>
                <w:sz w:val="24"/>
                <w:szCs w:val="24"/>
                <w:highlight w:val="none"/>
                <w:lang w:val="en-US" w:eastAsia="zh-CN"/>
              </w:rPr>
              <w:t>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28</w:t>
            </w:r>
            <w:r>
              <w:rPr>
                <w:rFonts w:hint="eastAsia" w:ascii="宋体" w:hAnsi="宋体" w:eastAsia="宋体" w:cs="宋体"/>
                <w:b/>
                <w:color w:val="auto"/>
                <w:sz w:val="24"/>
                <w:szCs w:val="24"/>
                <w:highlight w:val="none"/>
              </w:rPr>
              <w:t>分）</w:t>
            </w:r>
          </w:p>
        </w:tc>
      </w:tr>
      <w:tr w14:paraId="5166C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2565B438">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1150" w:type="dxa"/>
            <w:shd w:val="clear" w:color="auto" w:fill="auto"/>
            <w:noWrap w:val="0"/>
            <w:vAlign w:val="center"/>
          </w:tcPr>
          <w:p w14:paraId="41B9DBA5">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业绩</w:t>
            </w:r>
          </w:p>
        </w:tc>
        <w:tc>
          <w:tcPr>
            <w:tcW w:w="859" w:type="dxa"/>
            <w:shd w:val="clear" w:color="auto" w:fill="auto"/>
            <w:noWrap w:val="0"/>
            <w:vAlign w:val="center"/>
          </w:tcPr>
          <w:p w14:paraId="11FA653F">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2</w:t>
            </w:r>
          </w:p>
        </w:tc>
        <w:tc>
          <w:tcPr>
            <w:tcW w:w="6122" w:type="dxa"/>
            <w:shd w:val="clear" w:color="auto" w:fill="auto"/>
            <w:noWrap w:val="0"/>
            <w:vAlign w:val="center"/>
          </w:tcPr>
          <w:p w14:paraId="0F906354">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投标人自2023年1月1日以来（以合同签订时间为准）承担过包含保安服务内容的项目业绩，有一个得1分，最高得2分。</w:t>
            </w:r>
          </w:p>
          <w:p w14:paraId="1CD5B0A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cs="宋体"/>
                <w:b/>
                <w:bCs/>
                <w:color w:val="auto"/>
                <w:sz w:val="24"/>
                <w:szCs w:val="24"/>
                <w:highlight w:val="none"/>
                <w:lang w:val="en-US" w:eastAsia="zh-CN" w:bidi="ar-SA"/>
              </w:rPr>
              <w:t>注：（同一个甲方单位同一项目连续签订的不同年度的保安服务合同不累计得分），投标文件中提供</w:t>
            </w:r>
            <w:r>
              <w:rPr>
                <w:rFonts w:hint="eastAsia" w:ascii="宋体" w:hAnsi="宋体" w:eastAsia="宋体" w:cs="宋体"/>
                <w:b/>
                <w:bCs/>
                <w:color w:val="auto"/>
                <w:sz w:val="24"/>
                <w:szCs w:val="24"/>
                <w:highlight w:val="none"/>
                <w:lang w:val="en-US" w:eastAsia="zh-CN" w:bidi="ar-SA"/>
              </w:rPr>
              <w:t>合同并加盖</w:t>
            </w:r>
            <w:r>
              <w:rPr>
                <w:rFonts w:hint="eastAsia" w:ascii="宋体" w:hAnsi="宋体" w:cs="宋体"/>
                <w:b/>
                <w:bCs/>
                <w:color w:val="auto"/>
                <w:sz w:val="24"/>
                <w:szCs w:val="24"/>
                <w:highlight w:val="none"/>
                <w:lang w:val="en-US" w:eastAsia="zh-CN" w:bidi="ar-SA"/>
              </w:rPr>
              <w:t>投标人公章，否则不得分。</w:t>
            </w:r>
          </w:p>
        </w:tc>
      </w:tr>
      <w:tr w14:paraId="7FE1E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143125D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2</w:t>
            </w:r>
          </w:p>
        </w:tc>
        <w:tc>
          <w:tcPr>
            <w:tcW w:w="1150" w:type="dxa"/>
            <w:shd w:val="clear" w:color="auto" w:fill="auto"/>
            <w:noWrap w:val="0"/>
            <w:vAlign w:val="center"/>
          </w:tcPr>
          <w:p w14:paraId="2826792D">
            <w:pPr>
              <w:keepNext w:val="0"/>
              <w:keepLines w:val="0"/>
              <w:pageBreakBefore w:val="0"/>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认证证书</w:t>
            </w:r>
          </w:p>
        </w:tc>
        <w:tc>
          <w:tcPr>
            <w:tcW w:w="859" w:type="dxa"/>
            <w:shd w:val="clear" w:color="auto" w:fill="auto"/>
            <w:noWrap w:val="0"/>
            <w:vAlign w:val="center"/>
          </w:tcPr>
          <w:p w14:paraId="5A8CCF14">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bidi="ar-SA"/>
              </w:rPr>
              <w:t>10</w:t>
            </w:r>
          </w:p>
        </w:tc>
        <w:tc>
          <w:tcPr>
            <w:tcW w:w="6122" w:type="dxa"/>
            <w:shd w:val="clear" w:color="auto" w:fill="auto"/>
            <w:noWrap w:val="0"/>
            <w:vAlign w:val="center"/>
          </w:tcPr>
          <w:p w14:paraId="772E48FE">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投标人具有有效的质量管理体系认证证书、环境管理体系认证证书、职业健康安全管理体系认证证书、防暴力管理体系认证证书、反恐管理体系认证证书的，每有1个得2分，最高得10分。</w:t>
            </w:r>
          </w:p>
          <w:p w14:paraId="7DD1B1A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注：投标文件中提供证书</w:t>
            </w:r>
            <w:r>
              <w:rPr>
                <w:rFonts w:hint="eastAsia" w:ascii="宋体" w:hAnsi="宋体" w:eastAsia="宋体" w:cs="宋体"/>
                <w:b/>
                <w:bCs/>
                <w:color w:val="auto"/>
                <w:sz w:val="24"/>
                <w:szCs w:val="24"/>
                <w:highlight w:val="none"/>
                <w:lang w:val="en-US" w:eastAsia="zh-CN" w:bidi="ar-SA"/>
              </w:rPr>
              <w:t>并加盖</w:t>
            </w:r>
            <w:r>
              <w:rPr>
                <w:rFonts w:hint="eastAsia" w:ascii="宋体" w:hAnsi="宋体" w:cs="宋体"/>
                <w:b/>
                <w:bCs/>
                <w:color w:val="auto"/>
                <w:sz w:val="24"/>
                <w:szCs w:val="24"/>
                <w:highlight w:val="none"/>
                <w:lang w:val="en-US" w:eastAsia="zh-CN" w:bidi="ar-SA"/>
              </w:rPr>
              <w:t>投标人公章，否则不得分。</w:t>
            </w:r>
          </w:p>
        </w:tc>
      </w:tr>
      <w:tr w14:paraId="29A0F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6417C189">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50" w:type="dxa"/>
            <w:shd w:val="clear" w:color="auto" w:fill="auto"/>
            <w:noWrap w:val="0"/>
            <w:vAlign w:val="center"/>
          </w:tcPr>
          <w:p w14:paraId="67C217CA">
            <w:pPr>
              <w:keepNext w:val="0"/>
              <w:keepLines w:val="0"/>
              <w:pageBreakBefore w:val="0"/>
              <w:kinsoku/>
              <w:wordWrap/>
              <w:overflowPunct/>
              <w:topLinePunct w:val="0"/>
              <w:autoSpaceDE w:val="0"/>
              <w:autoSpaceDN w:val="0"/>
              <w:bidi w:val="0"/>
              <w:spacing w:line="360" w:lineRule="auto"/>
              <w:jc w:val="center"/>
              <w:textAlignment w:val="auto"/>
              <w:rPr>
                <w:rFonts w:hint="default" w:ascii="宋体" w:hAnsi="宋体" w:eastAsia="宋体" w:cs="宋体"/>
                <w:color w:val="auto"/>
                <w:sz w:val="24"/>
                <w:szCs w:val="24"/>
                <w:highlight w:val="none"/>
                <w:shd w:val="clear" w:color="auto" w:fill="FFFFFF"/>
                <w:lang w:val="en-US" w:eastAsia="zh-CN" w:bidi="ar-SA"/>
              </w:rPr>
            </w:pPr>
            <w:r>
              <w:rPr>
                <w:rFonts w:hint="eastAsia" w:ascii="宋体" w:hAnsi="宋体" w:cs="宋体"/>
                <w:color w:val="auto"/>
                <w:sz w:val="24"/>
                <w:szCs w:val="24"/>
                <w:highlight w:val="none"/>
                <w:shd w:val="clear" w:color="auto" w:fill="FFFFFF"/>
                <w:lang w:val="en-US" w:eastAsia="zh-CN" w:bidi="ar-SA"/>
              </w:rPr>
              <w:t>荣誉表彰</w:t>
            </w:r>
          </w:p>
        </w:tc>
        <w:tc>
          <w:tcPr>
            <w:tcW w:w="859" w:type="dxa"/>
            <w:shd w:val="clear" w:color="auto" w:fill="auto"/>
            <w:noWrap w:val="0"/>
            <w:vAlign w:val="center"/>
          </w:tcPr>
          <w:p w14:paraId="135696A6">
            <w:pPr>
              <w:keepNext w:val="0"/>
              <w:keepLines w:val="0"/>
              <w:pageBreakBefore w:val="0"/>
              <w:tabs>
                <w:tab w:val="left" w:pos="426"/>
              </w:tabs>
              <w:kinsoku/>
              <w:wordWrap/>
              <w:overflowPunct/>
              <w:topLinePunct w:val="0"/>
              <w:autoSpaceDE w:val="0"/>
              <w:autoSpaceDN w:val="0"/>
              <w:bidi w:val="0"/>
              <w:spacing w:line="360" w:lineRule="auto"/>
              <w:jc w:val="center"/>
              <w:textAlignment w:val="auto"/>
              <w:outlineLvl w:val="9"/>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4</w:t>
            </w:r>
          </w:p>
        </w:tc>
        <w:tc>
          <w:tcPr>
            <w:tcW w:w="6122" w:type="dxa"/>
            <w:shd w:val="clear" w:color="auto" w:fill="auto"/>
            <w:noWrap w:val="0"/>
            <w:vAlign w:val="center"/>
          </w:tcPr>
          <w:p w14:paraId="45E46037">
            <w:pPr>
              <w:autoSpaceDE w:val="0"/>
              <w:autoSpaceDN w:val="0"/>
              <w:spacing w:line="360" w:lineRule="auto"/>
              <w:rPr>
                <w:rFonts w:hint="eastAsia" w:ascii="宋体" w:hAnsi="宋体" w:cs="宋体"/>
                <w:b/>
                <w:bCs/>
                <w:color w:val="auto"/>
                <w:kern w:val="0"/>
                <w:sz w:val="24"/>
                <w:highlight w:val="none"/>
              </w:rPr>
            </w:pPr>
            <w:r>
              <w:rPr>
                <w:rFonts w:hint="eastAsia" w:ascii="宋体" w:hAnsi="宋体" w:cs="宋体"/>
                <w:b w:val="0"/>
                <w:bCs w:val="0"/>
                <w:color w:val="auto"/>
                <w:sz w:val="24"/>
                <w:szCs w:val="24"/>
                <w:highlight w:val="none"/>
                <w:lang w:val="en-US" w:eastAsia="zh-CN" w:bidi="ar-SA"/>
              </w:rPr>
              <w:t>投标人</w:t>
            </w:r>
            <w:r>
              <w:rPr>
                <w:rFonts w:hint="eastAsia" w:ascii="宋体" w:hAnsi="宋体" w:cs="宋体"/>
                <w:b w:val="0"/>
                <w:bCs w:val="0"/>
                <w:color w:val="auto"/>
                <w:kern w:val="0"/>
                <w:sz w:val="24"/>
                <w:highlight w:val="none"/>
              </w:rPr>
              <w:t>近五年（自</w:t>
            </w:r>
            <w:r>
              <w:rPr>
                <w:rFonts w:hint="eastAsia" w:ascii="宋体" w:hAnsi="宋体" w:cs="宋体"/>
                <w:b w:val="0"/>
                <w:bCs w:val="0"/>
                <w:color w:val="auto"/>
                <w:kern w:val="0"/>
                <w:sz w:val="24"/>
                <w:highlight w:val="none"/>
                <w:lang w:val="en-US" w:eastAsia="zh-CN"/>
              </w:rPr>
              <w:t>投标</w:t>
            </w:r>
            <w:r>
              <w:rPr>
                <w:rFonts w:hint="eastAsia" w:ascii="宋体" w:hAnsi="宋体" w:cs="宋体"/>
                <w:b w:val="0"/>
                <w:bCs w:val="0"/>
                <w:color w:val="auto"/>
                <w:kern w:val="0"/>
                <w:sz w:val="24"/>
                <w:highlight w:val="none"/>
              </w:rPr>
              <w:t>截止之日起往前推算）获得过党政机关/主管部门颁发的与本采购项目有关的荣誉，每提供一个得</w:t>
            </w:r>
            <w:r>
              <w:rPr>
                <w:rFonts w:hint="eastAsia" w:ascii="宋体" w:hAnsi="宋体" w:cs="宋体"/>
                <w:b w:val="0"/>
                <w:bCs w:val="0"/>
                <w:color w:val="auto"/>
                <w:kern w:val="0"/>
                <w:sz w:val="24"/>
                <w:highlight w:val="none"/>
                <w:lang w:val="en-US" w:eastAsia="zh-CN"/>
              </w:rPr>
              <w:t>1</w:t>
            </w:r>
            <w:r>
              <w:rPr>
                <w:rFonts w:hint="eastAsia" w:ascii="宋体" w:hAnsi="宋体" w:cs="宋体"/>
                <w:b w:val="0"/>
                <w:bCs w:val="0"/>
                <w:color w:val="auto"/>
                <w:kern w:val="0"/>
                <w:sz w:val="24"/>
                <w:highlight w:val="none"/>
              </w:rPr>
              <w:t>分，最高得</w:t>
            </w:r>
            <w:r>
              <w:rPr>
                <w:rFonts w:hint="eastAsia" w:ascii="宋体" w:hAnsi="宋体" w:cs="宋体"/>
                <w:b w:val="0"/>
                <w:bCs w:val="0"/>
                <w:color w:val="auto"/>
                <w:kern w:val="0"/>
                <w:sz w:val="24"/>
                <w:highlight w:val="none"/>
                <w:lang w:val="en-US" w:eastAsia="zh-CN"/>
              </w:rPr>
              <w:t>4</w:t>
            </w:r>
            <w:r>
              <w:rPr>
                <w:rFonts w:hint="eastAsia" w:ascii="宋体" w:hAnsi="宋体" w:cs="宋体"/>
                <w:b w:val="0"/>
                <w:bCs w:val="0"/>
                <w:color w:val="auto"/>
                <w:kern w:val="0"/>
                <w:sz w:val="24"/>
                <w:highlight w:val="none"/>
              </w:rPr>
              <w:t>分。</w:t>
            </w:r>
          </w:p>
          <w:p w14:paraId="096CE0D8">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bCs/>
                <w:color w:val="auto"/>
                <w:sz w:val="24"/>
                <w:szCs w:val="24"/>
                <w:highlight w:val="none"/>
                <w:lang w:val="en-US" w:eastAsia="zh-CN" w:bidi="ar-SA"/>
              </w:rPr>
            </w:pPr>
            <w:r>
              <w:rPr>
                <w:rFonts w:hint="eastAsia" w:ascii="宋体" w:hAnsi="宋体" w:cs="宋体"/>
                <w:b/>
                <w:bCs/>
                <w:color w:val="auto"/>
                <w:kern w:val="0"/>
                <w:sz w:val="24"/>
                <w:highlight w:val="none"/>
              </w:rPr>
              <w:t>注：</w:t>
            </w:r>
            <w:r>
              <w:rPr>
                <w:rFonts w:hint="eastAsia" w:ascii="宋体" w:hAnsi="宋体" w:eastAsia="宋体" w:cs="宋体"/>
                <w:b/>
                <w:bCs/>
                <w:color w:val="auto"/>
                <w:kern w:val="0"/>
                <w:sz w:val="24"/>
                <w:highlight w:val="none"/>
                <w:lang w:val="en-US" w:eastAsia="zh-CN"/>
              </w:rPr>
              <w:t>投标</w:t>
            </w:r>
            <w:r>
              <w:rPr>
                <w:rFonts w:hint="eastAsia" w:ascii="宋体" w:hAnsi="宋体" w:eastAsia="宋体" w:cs="宋体"/>
                <w:b/>
                <w:bCs/>
                <w:color w:val="auto"/>
                <w:kern w:val="0"/>
                <w:sz w:val="24"/>
                <w:highlight w:val="none"/>
                <w:lang w:eastAsia="zh-CN"/>
              </w:rPr>
              <w:t>文件</w:t>
            </w:r>
            <w:r>
              <w:rPr>
                <w:rFonts w:hint="eastAsia" w:ascii="宋体" w:hAnsi="宋体" w:cs="宋体"/>
                <w:b/>
                <w:bCs/>
                <w:color w:val="auto"/>
                <w:kern w:val="0"/>
                <w:sz w:val="24"/>
                <w:highlight w:val="none"/>
              </w:rPr>
              <w:t>中</w:t>
            </w:r>
            <w:r>
              <w:rPr>
                <w:rFonts w:hint="eastAsia" w:ascii="宋体" w:hAnsi="宋体" w:cs="宋体"/>
                <w:b/>
                <w:bCs/>
                <w:color w:val="auto"/>
                <w:kern w:val="0"/>
                <w:sz w:val="24"/>
                <w:highlight w:val="none"/>
                <w:lang w:val="zh-Hans"/>
              </w:rPr>
              <w:t>提供证书并加盖</w:t>
            </w:r>
            <w:r>
              <w:rPr>
                <w:rFonts w:hint="eastAsia" w:ascii="宋体" w:hAnsi="宋体" w:eastAsia="宋体" w:cs="宋体"/>
                <w:b/>
                <w:bCs/>
                <w:color w:val="auto"/>
                <w:kern w:val="0"/>
                <w:sz w:val="24"/>
                <w:highlight w:val="none"/>
                <w:lang w:val="en-US" w:eastAsia="zh-CN"/>
              </w:rPr>
              <w:t>投标人</w:t>
            </w:r>
            <w:r>
              <w:rPr>
                <w:rFonts w:hint="eastAsia" w:ascii="宋体" w:hAnsi="宋体" w:cs="宋体"/>
                <w:b/>
                <w:bCs/>
                <w:color w:val="auto"/>
                <w:kern w:val="0"/>
                <w:sz w:val="24"/>
                <w:highlight w:val="none"/>
                <w:lang w:val="zh-Hans"/>
              </w:rPr>
              <w:t>公章，否则不得分。</w:t>
            </w:r>
          </w:p>
        </w:tc>
      </w:tr>
      <w:tr w14:paraId="148B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15A573FD">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p>
        </w:tc>
        <w:tc>
          <w:tcPr>
            <w:tcW w:w="1150" w:type="dxa"/>
            <w:shd w:val="clear" w:color="auto" w:fill="auto"/>
            <w:noWrap w:val="0"/>
            <w:vAlign w:val="center"/>
          </w:tcPr>
          <w:p w14:paraId="5FAC9467">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项目负责人</w:t>
            </w:r>
          </w:p>
        </w:tc>
        <w:tc>
          <w:tcPr>
            <w:tcW w:w="859" w:type="dxa"/>
            <w:shd w:val="clear" w:color="auto" w:fill="auto"/>
            <w:noWrap w:val="0"/>
            <w:vAlign w:val="center"/>
          </w:tcPr>
          <w:p w14:paraId="0E642ABE">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6122" w:type="dxa"/>
            <w:shd w:val="clear" w:color="auto" w:fill="auto"/>
            <w:noWrap w:val="0"/>
            <w:vAlign w:val="center"/>
          </w:tcPr>
          <w:p w14:paraId="5542D3AE">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项目负责人：</w:t>
            </w:r>
          </w:p>
          <w:p w14:paraId="3722BB15">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1.具有本科及以上学历的得2分；</w:t>
            </w:r>
          </w:p>
          <w:p w14:paraId="05CB1346">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2.具有保安员高级（三级）及以上证书的得1分；</w:t>
            </w:r>
          </w:p>
          <w:p w14:paraId="182C890F">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3.具有建(构)筑物消防员证书的得1分；</w:t>
            </w:r>
          </w:p>
          <w:p w14:paraId="464EFA4C">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4.具有物业服务企业项目经理岗位培训合格证书的得1分；</w:t>
            </w:r>
          </w:p>
          <w:p w14:paraId="33704CD7">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5.具有红十字会救护员证书的得2分。</w:t>
            </w:r>
          </w:p>
          <w:p w14:paraId="62BBCF68">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w:t>
            </w:r>
            <w:r>
              <w:rPr>
                <w:rFonts w:hint="eastAsia" w:ascii="宋体" w:hAnsi="宋体" w:cs="宋体"/>
                <w:b/>
                <w:bCs/>
                <w:color w:val="auto"/>
                <w:kern w:val="0"/>
                <w:sz w:val="24"/>
                <w:highlight w:val="none"/>
                <w:lang w:val="zh-Hans" w:eastAsia="zh-CN"/>
              </w:rPr>
              <w:t>磋商响应文件</w:t>
            </w:r>
            <w:r>
              <w:rPr>
                <w:rFonts w:hint="eastAsia" w:ascii="宋体" w:hAnsi="宋体" w:cs="宋体"/>
                <w:b/>
                <w:bCs/>
                <w:color w:val="auto"/>
                <w:kern w:val="0"/>
                <w:sz w:val="24"/>
                <w:highlight w:val="none"/>
                <w:lang w:val="zh-Hans"/>
              </w:rPr>
              <w:t>中提供</w:t>
            </w:r>
            <w:r>
              <w:rPr>
                <w:rFonts w:hint="eastAsia" w:ascii="宋体" w:hAnsi="宋体" w:cs="宋体"/>
                <w:b/>
                <w:bCs/>
                <w:color w:val="auto"/>
                <w:kern w:val="0"/>
                <w:sz w:val="24"/>
                <w:highlight w:val="none"/>
                <w:lang w:val="en-US" w:eastAsia="zh-CN"/>
              </w:rPr>
              <w:t>相应</w:t>
            </w:r>
            <w:r>
              <w:rPr>
                <w:rFonts w:hint="eastAsia" w:ascii="宋体" w:hAnsi="宋体" w:cs="宋体"/>
                <w:b/>
                <w:bCs/>
                <w:color w:val="auto"/>
                <w:kern w:val="0"/>
                <w:sz w:val="24"/>
                <w:highlight w:val="none"/>
              </w:rPr>
              <w:t>证书及</w:t>
            </w:r>
            <w:r>
              <w:rPr>
                <w:rFonts w:hint="eastAsia" w:ascii="宋体" w:hAnsi="宋体" w:cs="宋体"/>
                <w:b/>
                <w:bCs/>
                <w:color w:val="auto"/>
                <w:sz w:val="24"/>
                <w:highlight w:val="none"/>
              </w:rPr>
              <w:t>2025年</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月至2025年</w:t>
            </w: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月中任意一个月</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为上述人员缴纳的社保证明并加盖</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公章，否则不得分。</w:t>
            </w:r>
          </w:p>
        </w:tc>
      </w:tr>
      <w:tr w14:paraId="7229F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2E3D93EA">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1150" w:type="dxa"/>
            <w:shd w:val="clear" w:color="auto" w:fill="auto"/>
            <w:noWrap w:val="0"/>
            <w:vAlign w:val="center"/>
          </w:tcPr>
          <w:p w14:paraId="4C2856E6">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团队其他成员</w:t>
            </w:r>
          </w:p>
        </w:tc>
        <w:tc>
          <w:tcPr>
            <w:tcW w:w="859" w:type="dxa"/>
            <w:shd w:val="clear" w:color="auto" w:fill="auto"/>
            <w:noWrap w:val="0"/>
            <w:vAlign w:val="center"/>
          </w:tcPr>
          <w:p w14:paraId="7D9A1AA7">
            <w:pPr>
              <w:keepNext w:val="0"/>
              <w:keepLines w:val="0"/>
              <w:pageBreakBefore w:val="0"/>
              <w:widowControl/>
              <w:tabs>
                <w:tab w:val="left" w:pos="1200"/>
              </w:tabs>
              <w:kinsoku/>
              <w:wordWrap/>
              <w:overflowPunct/>
              <w:topLinePunct w:val="0"/>
              <w:autoSpaceDE w:val="0"/>
              <w:autoSpaceDN w:val="0"/>
              <w:bidi w:val="0"/>
              <w:spacing w:line="360" w:lineRule="auto"/>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p>
        </w:tc>
        <w:tc>
          <w:tcPr>
            <w:tcW w:w="6122" w:type="dxa"/>
            <w:shd w:val="clear" w:color="auto" w:fill="auto"/>
            <w:noWrap w:val="0"/>
            <w:vAlign w:val="center"/>
          </w:tcPr>
          <w:p w14:paraId="56B3D5FF">
            <w:pPr>
              <w:keepNext w:val="0"/>
              <w:keepLines w:val="0"/>
              <w:pageBreakBefore w:val="0"/>
              <w:numPr>
                <w:ilvl w:val="0"/>
                <w:numId w:val="0"/>
              </w:numPr>
              <w:kinsoku/>
              <w:wordWrap/>
              <w:overflowPunct/>
              <w:topLinePunct w:val="0"/>
              <w:autoSpaceDE w:val="0"/>
              <w:autoSpaceDN w:val="0"/>
              <w:bidi w:val="0"/>
              <w:spacing w:line="360" w:lineRule="auto"/>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团队其他成员（除项目负责人外）</w:t>
            </w:r>
            <w:r>
              <w:rPr>
                <w:rFonts w:hint="eastAsia" w:ascii="宋体" w:hAnsi="宋体" w:eastAsia="宋体" w:cs="宋体"/>
                <w:bCs/>
                <w:color w:val="auto"/>
                <w:kern w:val="2"/>
                <w:sz w:val="24"/>
                <w:szCs w:val="24"/>
                <w:highlight w:val="none"/>
                <w:lang w:val="en-US" w:eastAsia="zh-CN" w:bidi="ar-SA"/>
              </w:rPr>
              <w:t>：</w:t>
            </w:r>
          </w:p>
          <w:p w14:paraId="38E231CB">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1.具有保安员证书的，有一个证书得0.5分，最高得2.5分；</w:t>
            </w:r>
          </w:p>
          <w:p w14:paraId="7113E792">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2.具有消控员证书的，有一个得0.5分，最高得2.5分。</w:t>
            </w:r>
          </w:p>
          <w:p w14:paraId="06C1B346">
            <w:pPr>
              <w:keepNext w:val="0"/>
              <w:keepLines w:val="0"/>
              <w:pageBreakBefore w:val="0"/>
              <w:kinsoku/>
              <w:wordWrap/>
              <w:overflowPunct/>
              <w:topLinePunct w:val="0"/>
              <w:autoSpaceDE w:val="0"/>
              <w:autoSpaceDN w:val="0"/>
              <w:bidi w:val="0"/>
              <w:spacing w:line="360" w:lineRule="auto"/>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bidi="ar-SA"/>
              </w:rPr>
              <w:t>注：投标文件中提供相关证书</w:t>
            </w:r>
            <w:r>
              <w:rPr>
                <w:rFonts w:hint="eastAsia" w:ascii="宋体" w:hAnsi="宋体" w:cs="宋体"/>
                <w:b/>
                <w:bCs/>
                <w:color w:val="auto"/>
                <w:kern w:val="0"/>
                <w:sz w:val="24"/>
                <w:highlight w:val="none"/>
              </w:rPr>
              <w:t>及</w:t>
            </w:r>
            <w:r>
              <w:rPr>
                <w:rFonts w:hint="eastAsia" w:ascii="宋体" w:hAnsi="宋体" w:cs="宋体"/>
                <w:b/>
                <w:bCs/>
                <w:color w:val="auto"/>
                <w:sz w:val="24"/>
                <w:highlight w:val="none"/>
              </w:rPr>
              <w:t>2025年</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月至2025年</w:t>
            </w: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月中任意一个月</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为上述人员缴纳的社保证明并加盖</w:t>
            </w:r>
            <w:r>
              <w:rPr>
                <w:rFonts w:hint="eastAsia" w:cs="宋体"/>
                <w:b/>
                <w:bCs/>
                <w:color w:val="auto"/>
                <w:sz w:val="24"/>
                <w:highlight w:val="none"/>
                <w:lang w:val="en-US" w:eastAsia="zh-CN"/>
              </w:rPr>
              <w:t>投标人</w:t>
            </w:r>
            <w:r>
              <w:rPr>
                <w:rFonts w:hint="eastAsia" w:ascii="宋体" w:hAnsi="宋体" w:cs="宋体"/>
                <w:b/>
                <w:bCs/>
                <w:color w:val="auto"/>
                <w:sz w:val="24"/>
                <w:highlight w:val="none"/>
              </w:rPr>
              <w:t>公章，否则不得分。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5"/>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77F4B0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337738B3">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1</w:t>
      </w:r>
      <w:r>
        <w:rPr>
          <w:rFonts w:hint="eastAsia" w:ascii="宋体" w:hAnsi="宋体" w:cs="宋体"/>
          <w:color w:val="auto"/>
          <w:spacing w:val="2"/>
          <w:sz w:val="24"/>
          <w:szCs w:val="24"/>
          <w:highlight w:val="none"/>
          <w:u w:val="none"/>
          <w:lang w:eastAsia="zh-CN"/>
        </w:rPr>
        <w:t>.项目内容：服务内容包括负责学院的安全保卫工作，维护校园秩序，对重点部位及责任区域定点守护和安全巡查，发现和消除安全隐患，</w:t>
      </w:r>
      <w:r>
        <w:rPr>
          <w:rFonts w:hint="eastAsia" w:ascii="宋体" w:hAnsi="宋体" w:cs="宋体"/>
          <w:color w:val="auto"/>
          <w:spacing w:val="2"/>
          <w:sz w:val="24"/>
          <w:szCs w:val="24"/>
          <w:highlight w:val="none"/>
          <w:u w:val="none"/>
          <w:lang w:val="en-US" w:eastAsia="zh-CN"/>
        </w:rPr>
        <w:t>负责</w:t>
      </w:r>
      <w:r>
        <w:rPr>
          <w:rFonts w:hint="eastAsia" w:ascii="宋体" w:hAnsi="宋体" w:cs="宋体"/>
          <w:color w:val="auto"/>
          <w:spacing w:val="2"/>
          <w:sz w:val="24"/>
          <w:szCs w:val="24"/>
          <w:highlight w:val="none"/>
          <w:u w:val="none"/>
          <w:lang w:eastAsia="zh-CN"/>
        </w:rPr>
        <w:t>学校的宿舍管理服务。</w:t>
      </w:r>
    </w:p>
    <w:p w14:paraId="2C7A883B">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eastAsia="zh-CN"/>
        </w:rPr>
        <w:t>.项目地点：江苏省横林高级中学</w:t>
      </w:r>
    </w:p>
    <w:p w14:paraId="181E8A8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6CAA889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服务期限</w:t>
      </w:r>
    </w:p>
    <w:p w14:paraId="0E1504F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三年，合同一年一签。其中首次进场后的第一个月为试用期，试用期满须经采购人考核，考核不合格，采购人可以解除合同，对此采购人不承担经济与法律责任。每年合同期满经采购人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p>
    <w:p w14:paraId="189C877F">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2.付款方式</w:t>
      </w:r>
    </w:p>
    <w:p w14:paraId="5F1EF77E">
      <w:pPr>
        <w:spacing w:line="360" w:lineRule="auto"/>
        <w:ind w:firstLine="480" w:firstLineChars="200"/>
        <w:contextualSpacing/>
        <w:outlineLvl w:val="9"/>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根据考核结果季度按实结算付款。</w:t>
      </w:r>
    </w:p>
    <w:p w14:paraId="2900C5DD">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三、技术要求</w:t>
      </w:r>
    </w:p>
    <w:p w14:paraId="38C881C2">
      <w:pPr>
        <w:shd w:val="clear" w:color="auto" w:fill="FFFFFF"/>
        <w:snapToGrid w:val="0"/>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s="宋体"/>
          <w:color w:val="auto"/>
          <w:sz w:val="24"/>
          <w:szCs w:val="24"/>
          <w:highlight w:val="none"/>
        </w:rPr>
        <w:t>依照学校管理要求，结合校园安全保卫及宿舍管理实际情况，本项目的岗位设置及要求如下表：</w:t>
      </w:r>
    </w:p>
    <w:tbl>
      <w:tblPr>
        <w:tblStyle w:val="46"/>
        <w:tblW w:w="8485"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3665"/>
        <w:gridCol w:w="1982"/>
        <w:gridCol w:w="1984"/>
      </w:tblGrid>
      <w:tr w14:paraId="6B04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4" w:type="dxa"/>
            <w:tcBorders>
              <w:top w:val="single" w:color="auto" w:sz="4" w:space="0"/>
              <w:left w:val="single" w:color="auto" w:sz="4" w:space="0"/>
              <w:bottom w:val="single" w:color="auto" w:sz="4" w:space="0"/>
              <w:right w:val="single" w:color="auto" w:sz="4" w:space="0"/>
            </w:tcBorders>
            <w:vAlign w:val="center"/>
          </w:tcPr>
          <w:p w14:paraId="6049F57C">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3665" w:type="dxa"/>
            <w:tcBorders>
              <w:top w:val="single" w:color="auto" w:sz="4" w:space="0"/>
              <w:left w:val="single" w:color="auto" w:sz="4" w:space="0"/>
              <w:bottom w:val="single" w:color="auto" w:sz="4" w:space="0"/>
              <w:right w:val="single" w:color="auto" w:sz="4" w:space="0"/>
            </w:tcBorders>
            <w:vAlign w:val="center"/>
          </w:tcPr>
          <w:p w14:paraId="61D0CEC9">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岗位设置</w:t>
            </w:r>
          </w:p>
        </w:tc>
        <w:tc>
          <w:tcPr>
            <w:tcW w:w="1982" w:type="dxa"/>
            <w:tcBorders>
              <w:top w:val="single" w:color="auto" w:sz="4" w:space="0"/>
              <w:left w:val="single" w:color="auto" w:sz="4" w:space="0"/>
              <w:bottom w:val="single" w:color="auto" w:sz="4" w:space="0"/>
              <w:right w:val="single" w:color="auto" w:sz="4" w:space="0"/>
            </w:tcBorders>
          </w:tcPr>
          <w:p w14:paraId="5B88C18E">
            <w:pPr>
              <w:widowControl/>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人数</w:t>
            </w:r>
          </w:p>
        </w:tc>
        <w:tc>
          <w:tcPr>
            <w:tcW w:w="1984" w:type="dxa"/>
            <w:tcBorders>
              <w:top w:val="single" w:color="auto" w:sz="4" w:space="0"/>
              <w:left w:val="single" w:color="auto" w:sz="4" w:space="0"/>
              <w:bottom w:val="single" w:color="auto" w:sz="4" w:space="0"/>
              <w:right w:val="single" w:color="auto" w:sz="4" w:space="0"/>
            </w:tcBorders>
            <w:vAlign w:val="center"/>
          </w:tcPr>
          <w:p w14:paraId="73243D73">
            <w:pPr>
              <w:widowControl/>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042F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854" w:type="dxa"/>
            <w:vMerge w:val="restart"/>
            <w:tcBorders>
              <w:top w:val="single" w:color="auto" w:sz="4" w:space="0"/>
              <w:left w:val="single" w:color="auto" w:sz="4" w:space="0"/>
              <w:right w:val="single" w:color="auto" w:sz="4" w:space="0"/>
            </w:tcBorders>
            <w:vAlign w:val="center"/>
          </w:tcPr>
          <w:p w14:paraId="45C35863">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3665" w:type="dxa"/>
            <w:tcBorders>
              <w:top w:val="single" w:color="auto" w:sz="4" w:space="0"/>
              <w:left w:val="single" w:color="auto" w:sz="4" w:space="0"/>
              <w:bottom w:val="single" w:color="auto" w:sz="4" w:space="0"/>
              <w:right w:val="single" w:color="auto" w:sz="4" w:space="0"/>
            </w:tcBorders>
            <w:vAlign w:val="center"/>
          </w:tcPr>
          <w:p w14:paraId="6BB5DD8B">
            <w:pPr>
              <w:widowControl/>
              <w:spacing w:line="360" w:lineRule="auto"/>
              <w:jc w:val="center"/>
              <w:rPr>
                <w:rFonts w:ascii="宋体" w:hAnsi="宋体" w:cs="宋体"/>
                <w:color w:val="auto"/>
                <w:sz w:val="24"/>
                <w:szCs w:val="24"/>
                <w:highlight w:val="none"/>
              </w:rPr>
            </w:pPr>
            <w:r>
              <w:rPr>
                <w:rFonts w:hint="eastAsia" w:ascii="宋体" w:hAnsi="宋体"/>
                <w:color w:val="auto"/>
                <w:sz w:val="24"/>
                <w:szCs w:val="24"/>
                <w:highlight w:val="none"/>
              </w:rPr>
              <w:t>保安队长（项目负责人）</w:t>
            </w:r>
          </w:p>
        </w:tc>
        <w:tc>
          <w:tcPr>
            <w:tcW w:w="1982" w:type="dxa"/>
            <w:tcBorders>
              <w:top w:val="single" w:color="auto" w:sz="4" w:space="0"/>
              <w:left w:val="single" w:color="auto" w:sz="4" w:space="0"/>
              <w:bottom w:val="single" w:color="auto" w:sz="4" w:space="0"/>
              <w:right w:val="single" w:color="auto" w:sz="4" w:space="0"/>
            </w:tcBorders>
            <w:vAlign w:val="center"/>
          </w:tcPr>
          <w:p w14:paraId="64DDA85D">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84" w:type="dxa"/>
            <w:vMerge w:val="restart"/>
            <w:tcBorders>
              <w:top w:val="single" w:color="auto" w:sz="4" w:space="0"/>
              <w:left w:val="single" w:color="auto" w:sz="4" w:space="0"/>
              <w:right w:val="single" w:color="auto" w:sz="4" w:space="0"/>
            </w:tcBorders>
            <w:vAlign w:val="center"/>
          </w:tcPr>
          <w:p w14:paraId="686ABEC0">
            <w:pPr>
              <w:widowControl/>
              <w:spacing w:line="360" w:lineRule="auto"/>
              <w:jc w:val="both"/>
              <w:rPr>
                <w:rFonts w:ascii="宋体" w:hAnsi="宋体" w:cs="宋体"/>
                <w:color w:val="auto"/>
                <w:sz w:val="24"/>
                <w:szCs w:val="24"/>
                <w:highlight w:val="none"/>
              </w:rPr>
            </w:pPr>
            <w:r>
              <w:rPr>
                <w:rFonts w:hint="eastAsia" w:ascii="宋体" w:hAnsi="宋体" w:cs="宋体"/>
                <w:color w:val="auto"/>
                <w:sz w:val="24"/>
                <w:szCs w:val="24"/>
                <w:highlight w:val="none"/>
              </w:rPr>
              <w:t>保安、宿管学历要求：初中及以上学历；年龄要求：保安员首聘不得超过</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周岁，宿管不得超过60周岁；</w:t>
            </w:r>
          </w:p>
        </w:tc>
      </w:tr>
      <w:tr w14:paraId="4ECE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854" w:type="dxa"/>
            <w:vMerge w:val="continue"/>
            <w:tcBorders>
              <w:left w:val="single" w:color="auto" w:sz="4" w:space="0"/>
              <w:bottom w:val="single" w:color="auto" w:sz="4" w:space="0"/>
              <w:right w:val="single" w:color="auto" w:sz="4" w:space="0"/>
            </w:tcBorders>
            <w:vAlign w:val="center"/>
          </w:tcPr>
          <w:p w14:paraId="653DFADA">
            <w:pPr>
              <w:widowControl/>
              <w:spacing w:line="360" w:lineRule="auto"/>
              <w:jc w:val="center"/>
              <w:rPr>
                <w:rFonts w:ascii="宋体" w:hAnsi="宋体" w:cs="宋体"/>
                <w:color w:val="auto"/>
                <w:sz w:val="24"/>
                <w:szCs w:val="24"/>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72D450CB">
            <w:pPr>
              <w:widowControl/>
              <w:spacing w:line="360" w:lineRule="auto"/>
              <w:jc w:val="center"/>
              <w:rPr>
                <w:rFonts w:ascii="宋体" w:hAnsi="宋体" w:cs="宋体"/>
                <w:color w:val="auto"/>
                <w:sz w:val="24"/>
                <w:szCs w:val="24"/>
                <w:highlight w:val="none"/>
              </w:rPr>
            </w:pPr>
            <w:r>
              <w:rPr>
                <w:rFonts w:hint="eastAsia" w:ascii="宋体" w:hAnsi="宋体"/>
                <w:color w:val="auto"/>
                <w:sz w:val="24"/>
                <w:szCs w:val="24"/>
                <w:highlight w:val="none"/>
              </w:rPr>
              <w:t>保安队员</w:t>
            </w:r>
          </w:p>
        </w:tc>
        <w:tc>
          <w:tcPr>
            <w:tcW w:w="1982" w:type="dxa"/>
            <w:tcBorders>
              <w:top w:val="single" w:color="auto" w:sz="4" w:space="0"/>
              <w:left w:val="single" w:color="auto" w:sz="4" w:space="0"/>
              <w:bottom w:val="single" w:color="auto" w:sz="4" w:space="0"/>
              <w:right w:val="single" w:color="auto" w:sz="4" w:space="0"/>
            </w:tcBorders>
            <w:vAlign w:val="center"/>
          </w:tcPr>
          <w:p w14:paraId="40E46954">
            <w:pPr>
              <w:widowControl/>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5</w:t>
            </w:r>
          </w:p>
        </w:tc>
        <w:tc>
          <w:tcPr>
            <w:tcW w:w="1984" w:type="dxa"/>
            <w:vMerge w:val="continue"/>
            <w:tcBorders>
              <w:left w:val="single" w:color="auto" w:sz="4" w:space="0"/>
              <w:right w:val="single" w:color="auto" w:sz="4" w:space="0"/>
            </w:tcBorders>
            <w:vAlign w:val="center"/>
          </w:tcPr>
          <w:p w14:paraId="02964715">
            <w:pPr>
              <w:widowControl/>
              <w:spacing w:line="360" w:lineRule="auto"/>
              <w:jc w:val="center"/>
              <w:rPr>
                <w:rFonts w:ascii="宋体" w:hAnsi="宋体" w:cs="宋体"/>
                <w:color w:val="auto"/>
                <w:sz w:val="24"/>
                <w:szCs w:val="24"/>
                <w:highlight w:val="none"/>
              </w:rPr>
            </w:pPr>
          </w:p>
        </w:tc>
      </w:tr>
      <w:tr w14:paraId="6114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54" w:type="dxa"/>
            <w:vMerge w:val="continue"/>
            <w:tcBorders>
              <w:left w:val="single" w:color="auto" w:sz="4" w:space="0"/>
              <w:bottom w:val="single" w:color="auto" w:sz="4" w:space="0"/>
              <w:right w:val="single" w:color="auto" w:sz="4" w:space="0"/>
            </w:tcBorders>
            <w:vAlign w:val="center"/>
          </w:tcPr>
          <w:p w14:paraId="60A5AA8F">
            <w:pPr>
              <w:spacing w:line="360" w:lineRule="auto"/>
              <w:jc w:val="center"/>
              <w:rPr>
                <w:rFonts w:ascii="宋体" w:hAnsi="宋体" w:cs="宋体"/>
                <w:color w:val="auto"/>
                <w:sz w:val="24"/>
                <w:szCs w:val="24"/>
                <w:highlight w:val="none"/>
              </w:rPr>
            </w:pPr>
          </w:p>
        </w:tc>
        <w:tc>
          <w:tcPr>
            <w:tcW w:w="3665" w:type="dxa"/>
            <w:tcBorders>
              <w:top w:val="single" w:color="auto" w:sz="4" w:space="0"/>
              <w:left w:val="single" w:color="auto" w:sz="4" w:space="0"/>
              <w:bottom w:val="single" w:color="auto" w:sz="4" w:space="0"/>
              <w:right w:val="single" w:color="auto" w:sz="4" w:space="0"/>
            </w:tcBorders>
            <w:vAlign w:val="center"/>
          </w:tcPr>
          <w:p w14:paraId="63CEF975">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宿舍管理员</w:t>
            </w:r>
          </w:p>
        </w:tc>
        <w:tc>
          <w:tcPr>
            <w:tcW w:w="1982" w:type="dxa"/>
            <w:tcBorders>
              <w:top w:val="single" w:color="auto" w:sz="4" w:space="0"/>
              <w:left w:val="single" w:color="auto" w:sz="4" w:space="0"/>
              <w:bottom w:val="single" w:color="auto" w:sz="4" w:space="0"/>
              <w:right w:val="single" w:color="auto" w:sz="4" w:space="0"/>
            </w:tcBorders>
            <w:vAlign w:val="center"/>
          </w:tcPr>
          <w:p w14:paraId="45537079">
            <w:pPr>
              <w:spacing w:line="360" w:lineRule="auto"/>
              <w:jc w:val="center"/>
              <w:rPr>
                <w:rFonts w:ascii="宋体" w:hAnsi="宋体" w:cs="宋体"/>
                <w:color w:val="auto"/>
                <w:sz w:val="24"/>
                <w:szCs w:val="24"/>
                <w:highlight w:val="none"/>
              </w:rPr>
            </w:pPr>
            <w:r>
              <w:rPr>
                <w:rFonts w:ascii="宋体" w:hAnsi="宋体" w:cs="宋体"/>
                <w:color w:val="auto"/>
                <w:sz w:val="24"/>
                <w:szCs w:val="24"/>
                <w:highlight w:val="none"/>
              </w:rPr>
              <w:t>10</w:t>
            </w:r>
          </w:p>
        </w:tc>
        <w:tc>
          <w:tcPr>
            <w:tcW w:w="1984" w:type="dxa"/>
            <w:vMerge w:val="continue"/>
            <w:tcBorders>
              <w:left w:val="single" w:color="auto" w:sz="4" w:space="0"/>
              <w:bottom w:val="single" w:color="auto" w:sz="4" w:space="0"/>
              <w:right w:val="single" w:color="auto" w:sz="4" w:space="0"/>
            </w:tcBorders>
            <w:vAlign w:val="center"/>
          </w:tcPr>
          <w:p w14:paraId="2100E0AF">
            <w:pPr>
              <w:spacing w:line="360" w:lineRule="auto"/>
              <w:jc w:val="center"/>
              <w:rPr>
                <w:rFonts w:ascii="宋体" w:hAnsi="宋体" w:cs="宋体"/>
                <w:color w:val="auto"/>
                <w:sz w:val="24"/>
                <w:szCs w:val="24"/>
                <w:highlight w:val="none"/>
              </w:rPr>
            </w:pPr>
          </w:p>
        </w:tc>
      </w:tr>
      <w:tr w14:paraId="1CC9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519" w:type="dxa"/>
            <w:gridSpan w:val="2"/>
            <w:tcBorders>
              <w:top w:val="single" w:color="auto" w:sz="4" w:space="0"/>
              <w:left w:val="single" w:color="auto" w:sz="4" w:space="0"/>
              <w:bottom w:val="single" w:color="auto" w:sz="4" w:space="0"/>
              <w:right w:val="single" w:color="auto" w:sz="4" w:space="0"/>
            </w:tcBorders>
            <w:vAlign w:val="center"/>
          </w:tcPr>
          <w:p w14:paraId="6280EFEE">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合计</w:t>
            </w:r>
          </w:p>
        </w:tc>
        <w:tc>
          <w:tcPr>
            <w:tcW w:w="1982" w:type="dxa"/>
            <w:tcBorders>
              <w:top w:val="single" w:color="auto" w:sz="4" w:space="0"/>
              <w:left w:val="single" w:color="auto" w:sz="4" w:space="0"/>
              <w:bottom w:val="single" w:color="auto" w:sz="4" w:space="0"/>
              <w:right w:val="single" w:color="auto" w:sz="4" w:space="0"/>
            </w:tcBorders>
            <w:vAlign w:val="center"/>
          </w:tcPr>
          <w:p w14:paraId="159A2EAC">
            <w:pPr>
              <w:widowControl/>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6</w:t>
            </w:r>
          </w:p>
        </w:tc>
        <w:tc>
          <w:tcPr>
            <w:tcW w:w="1984" w:type="dxa"/>
            <w:tcBorders>
              <w:top w:val="single" w:color="auto" w:sz="4" w:space="0"/>
              <w:left w:val="single" w:color="auto" w:sz="4" w:space="0"/>
              <w:bottom w:val="single" w:color="auto" w:sz="4" w:space="0"/>
              <w:right w:val="single" w:color="auto" w:sz="4" w:space="0"/>
            </w:tcBorders>
            <w:vAlign w:val="center"/>
          </w:tcPr>
          <w:p w14:paraId="71DF078B">
            <w:pPr>
              <w:widowControl/>
              <w:spacing w:line="360" w:lineRule="auto"/>
              <w:jc w:val="center"/>
              <w:rPr>
                <w:rFonts w:ascii="宋体" w:hAnsi="宋体" w:cs="宋体"/>
                <w:color w:val="auto"/>
                <w:sz w:val="24"/>
                <w:szCs w:val="24"/>
                <w:highlight w:val="none"/>
              </w:rPr>
            </w:pPr>
          </w:p>
        </w:tc>
      </w:tr>
    </w:tbl>
    <w:p w14:paraId="023CF93B">
      <w:pPr>
        <w:adjustRightInd w:val="0"/>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、依照校方规定与管理要求，结合校园安全保卫及宿舍管理实际情况，实行24小时值班制度。保安、宿管学历要求：初中及以上学历；年龄要求：</w:t>
      </w:r>
      <w:r>
        <w:rPr>
          <w:rFonts w:hint="eastAsia" w:ascii="宋体" w:hAnsi="宋体" w:cs="宋体"/>
          <w:color w:val="auto"/>
          <w:sz w:val="24"/>
          <w:szCs w:val="24"/>
          <w:highlight w:val="none"/>
        </w:rPr>
        <w:t>保安、宿管学历要求：初中及以上学历；年龄要求：保安员首聘不得超过</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周岁，宿管不得超过60周岁；</w:t>
      </w:r>
      <w:r>
        <w:rPr>
          <w:rFonts w:hint="eastAsia" w:ascii="宋体" w:hAnsi="宋体" w:cs="宋体"/>
          <w:color w:val="auto"/>
          <w:sz w:val="24"/>
          <w:szCs w:val="24"/>
          <w:highlight w:val="none"/>
        </w:rPr>
        <w:t>制订切实可行的校园安全保卫及宿舍管理整体方案，开展专业安全防范，具体管理事项如下：</w:t>
      </w:r>
    </w:p>
    <w:p w14:paraId="0C810A95">
      <w:pPr>
        <w:adjustRightInd w:val="0"/>
        <w:snapToGrid w:val="0"/>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3</w:t>
      </w:r>
      <w:r>
        <w:rPr>
          <w:rFonts w:hint="eastAsia" w:ascii="宋体" w:hAnsi="宋体" w:cs="宋体"/>
          <w:b/>
          <w:color w:val="auto"/>
          <w:sz w:val="24"/>
          <w:szCs w:val="24"/>
          <w:highlight w:val="none"/>
        </w:rPr>
        <w:t>．安保服务的工作内容</w:t>
      </w:r>
    </w:p>
    <w:p w14:paraId="7515780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（1）对学校日常开放的大门实行24小时门卫管理，对学校需临时开放的大门按要求实行管理。</w:t>
      </w:r>
    </w:p>
    <w:p w14:paraId="0BF89DE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（2）负责校园内安全重点部位的防破坏、防事故、防盗、防外来人员私自进入等守护守卫工作。</w:t>
      </w:r>
    </w:p>
    <w:p w14:paraId="2CBDE64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（3）负责对外来车辆、外来人员、出入校园物品进行检查、登记等门卫执勤工作。</w:t>
      </w:r>
    </w:p>
    <w:p w14:paraId="7E77F19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（4）负责组织治安巡逻、及时发现各类安全隐患，劝止、制止不文明举止。</w:t>
      </w:r>
    </w:p>
    <w:p w14:paraId="2C4360B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（5）负责校园内车辆停放、道路交通秩序维持。</w:t>
      </w:r>
    </w:p>
    <w:p w14:paraId="35C4ECC5">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（6）负责消防器材的检查。</w:t>
      </w:r>
    </w:p>
    <w:p w14:paraId="0B0693D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（7）配合学校安保管理部门执行各项管理制度，维护校园内教学、科研、交通、生活秩序，执行率100%；接受安保管理部门的监督检查、考核及业务指导，参与校园突发事件处置、灾害预防、火灾扑救。</w:t>
      </w:r>
    </w:p>
    <w:p w14:paraId="0F32EA1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（8）其它属于安保服务范围内的工作以及学校临时交办的事务。</w:t>
      </w:r>
    </w:p>
    <w:p w14:paraId="2817EA4D">
      <w:pPr>
        <w:adjustRightInd w:val="0"/>
        <w:snapToGrid w:val="0"/>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2.1</w:t>
      </w:r>
      <w:r>
        <w:rPr>
          <w:rFonts w:hint="eastAsia" w:ascii="宋体" w:hAnsi="宋体" w:cs="宋体"/>
          <w:b/>
          <w:color w:val="auto"/>
          <w:sz w:val="24"/>
          <w:szCs w:val="24"/>
          <w:highlight w:val="none"/>
        </w:rPr>
        <w:t>．安保服务的工作要求</w:t>
      </w:r>
    </w:p>
    <w:p w14:paraId="486AC49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（1）质量目标要求</w:t>
      </w:r>
    </w:p>
    <w:p w14:paraId="756778F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1）依照行业标准，根据学校管理规定与服务要求，制订切实可行的校园安全保卫工作整体方案和应急预案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包含反暴力和反恐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，突发事件反应迅速，预案处置有力。</w:t>
      </w:r>
    </w:p>
    <w:p w14:paraId="6D9A06E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2）依法办事，文明执勤，严格管理，保障学校财产和人员人身不受侵害，维护正常的教学、科研、生活秩序；</w:t>
      </w:r>
    </w:p>
    <w:p w14:paraId="6DF7802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3）全年无责任事故和责任案件发生，校园安保服务满意率达95%以上。</w:t>
      </w:r>
    </w:p>
    <w:p w14:paraId="60949A9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（2）服务要求</w:t>
      </w:r>
    </w:p>
    <w:p w14:paraId="7A7C3B0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1）自行配备门卫值勤、安全巡逻所需的器材和通讯设备等。</w:t>
      </w:r>
    </w:p>
    <w:p w14:paraId="2AE4661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2）负责学校的门卫工作，按照学校门卫管理制度及其他有关规定，认真管理好进出校园的人员、车辆和物资等。</w:t>
      </w:r>
    </w:p>
    <w:p w14:paraId="2063B18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3）坚持文明执勤、文明上岗。上岗人员要仪表整洁卫生，站岗姿势要端正规范，指挥车辆动作要准确、标准，执勤语言要文明。</w:t>
      </w:r>
    </w:p>
    <w:p w14:paraId="0E6D292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4）积极主动协调处理校内治安，消防等方面的突发事件，迅速排除各种险情，及时向学校安保管理部门报告各类案件、事故及其他重大问题和重要情况。　</w:t>
      </w:r>
    </w:p>
    <w:p w14:paraId="7D43158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要加强值班，建立文明值班室。值班场所做到整洁、卫生、有序，负责门前三包：“包安全、包卫生、包秩序”；上岗人员做到“六不”：不擅离岗位，不打瞌睡，不闲聊嬉闹，不打牌下棋，不喝酒，不干私活会客。</w:t>
      </w:r>
    </w:p>
    <w:p w14:paraId="284FF08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（3）队伍建设与管理要求</w:t>
      </w:r>
    </w:p>
    <w:p w14:paraId="25C1056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1）负责提供派驻安保人员值勤所需的装备、器材、通讯设备、常用办公耗材等。</w:t>
      </w:r>
    </w:p>
    <w:p w14:paraId="3E0D13E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2）从学校安全实际出发，经常性开展在岗人员业务培训和紧急预案演练。</w:t>
      </w:r>
    </w:p>
    <w:p w14:paraId="7A97642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3）内部管理体制健全，设立安保部主管（安保队队长），全面负责日常安保队伍的规范化管理。</w:t>
      </w:r>
    </w:p>
    <w:p w14:paraId="16DB7BC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保持保安队伍的稳定，严格控制非违纪人员轮换岗比例；更换安保部主管（安保队队长）的，应提前一个月以书面形式通知学校安保管理部门并得到认可后方可更换；更换其他队员的，应提前三天告知学校安保管理部门，确保服务质量不因人员变动而受影响。</w:t>
      </w:r>
    </w:p>
    <w:p w14:paraId="44B5D63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（4）人员素质要求</w:t>
      </w:r>
    </w:p>
    <w:p w14:paraId="289FE66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1）派驻学校的安保人员应知法、懂法、守法、依法办事，必须严格遵守保安从业规范，模范遵守校园安全管理规定。</w:t>
      </w:r>
    </w:p>
    <w:p w14:paraId="23D09E0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2）安保部主管（安保队队长）应具备有较高的政治思想素养和业务水平，有较强的组织协调能力，受过专门的保安业务培训。</w:t>
      </w:r>
    </w:p>
    <w:p w14:paraId="20F62D6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3）派驻学校的安保人员，</w:t>
      </w:r>
      <w:r>
        <w:rPr>
          <w:rFonts w:hint="eastAsia" w:ascii="宋体" w:hAnsi="宋体" w:cs="宋体"/>
          <w:color w:val="auto"/>
          <w:sz w:val="24"/>
          <w:szCs w:val="24"/>
          <w:highlight w:val="none"/>
          <w:lang w:val="en-US" w:eastAsia="zh-CN"/>
        </w:rPr>
        <w:t>首聘</w:t>
      </w:r>
      <w:r>
        <w:rPr>
          <w:rFonts w:hint="eastAsia" w:ascii="宋体" w:hAnsi="宋体" w:cs="宋体"/>
          <w:color w:val="auto"/>
          <w:sz w:val="24"/>
          <w:szCs w:val="24"/>
          <w:highlight w:val="none"/>
        </w:rPr>
        <w:t>年龄</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周岁以下，初中及以上学历，身体健康，无传染病及精神病史，体貌端正，无犯罪记录。</w:t>
      </w:r>
    </w:p>
    <w:p w14:paraId="56C5492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4）派驻学校的安保人员有高度的责任感和吃苦耐劳的精神，受过不少于24课时的岗前专业培训，熟知学校的管理规定，恪尽职守，善于发现各类问题，具备一定的管理经验和处理突发事件能力。 </w:t>
      </w:r>
    </w:p>
    <w:p w14:paraId="4E87541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5）安保部主管（安保队队长）负责对派驻学校的安保人员进行业务指导、管理与监督，确保安保人员在校园内无违规、违纪事件发生。</w:t>
      </w:r>
    </w:p>
    <w:p w14:paraId="331BC12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（5）工作衔接要求</w:t>
      </w:r>
    </w:p>
    <w:p w14:paraId="0F71C25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1）根据行业服务标准与学校规定要求，独立运作，落实校园安全保卫整体方案，并结合校园实际在实践中不断完善。</w:t>
      </w:r>
    </w:p>
    <w:p w14:paraId="4ABE768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2）安保部主管（安保队队长）须与学校安保管理部门保持必要的工作交流，每星期一次向学校安保管理部门汇报所承担的安保工作开展情况及信息反馈，重大情况须及时报告。</w:t>
      </w:r>
    </w:p>
    <w:p w14:paraId="72C4646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3）做好详细的执勤记录，原始台帐保存完好，以备学校核查。</w:t>
      </w:r>
    </w:p>
    <w:p w14:paraId="64AF9294">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4）与学校相关管理目标协作，开展一体化安全防范。</w:t>
      </w:r>
    </w:p>
    <w:p w14:paraId="4C4E9D5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（6）岗位工作职责要求</w:t>
      </w:r>
    </w:p>
    <w:p w14:paraId="37223FA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门卫管理：严格人员、车辆、物资进出管理；按时立岗，礼貌待人，树立良好的窗口形象；对来访人员实行验证登记制度，禁止闲杂人员混入校园；对携物出门实行出门证验审制度，防止财物流失；对外单位车辆实行换证入校制度；维护责任区域秩序，与各岗位互通信息；值班室无闲杂人员滞留，保持内外环境整洁卫生和门前三包；完成学校交办的其他事项。</w:t>
      </w:r>
    </w:p>
    <w:p w14:paraId="19AF384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校园巡逻：及时发现和排除各种不安全因素，分析处理各种事故隐患和突发事件；根据不同情况，灵活执行巡逻方案；加强对重点区域、要害部位的安全巡查，巡更采点不流于形式，并与监控室保持联动；协助各岗位开展校园秩序维护和交通秩序管理工作。</w:t>
      </w:r>
    </w:p>
    <w:p w14:paraId="765F331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通过门卫卡口管理、区域守护，形成校园安全防范网络；加强校园内部交通秩序管理，通过主动干预提示，控制车辆速度，禁止无牌照车辆进入校园，保障大门及校内道路畅通，无交通事故发生，无车辆乱停乱放现象。</w:t>
      </w:r>
    </w:p>
    <w:p w14:paraId="7BAE49C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4）对室内外消防器材进行巡查并做好记录；维持各类器材处于正常使用状态；发现问题及时报告。</w:t>
      </w:r>
    </w:p>
    <w:p w14:paraId="66699C04">
      <w:pPr>
        <w:pStyle w:val="7"/>
        <w:adjustRightInd w:val="0"/>
        <w:snapToGrid w:val="0"/>
        <w:spacing w:before="0" w:after="0" w:line="360" w:lineRule="auto"/>
        <w:ind w:firstLine="482" w:firstLineChars="20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宿舍管理服务工作内容</w:t>
      </w:r>
    </w:p>
    <w:p w14:paraId="648DE246">
      <w:pPr>
        <w:adjustRightInd w:val="0"/>
        <w:snapToGrid w:val="0"/>
        <w:spacing w:line="360" w:lineRule="auto"/>
        <w:ind w:firstLine="482" w:firstLineChars="200"/>
        <w:rPr>
          <w:rFonts w:ascii="宋体" w:hAnsi="宋体"/>
          <w:b/>
          <w:color w:val="auto"/>
          <w:sz w:val="24"/>
          <w:szCs w:val="24"/>
          <w:highlight w:val="none"/>
        </w:rPr>
      </w:pPr>
      <w:r>
        <w:rPr>
          <w:rFonts w:ascii="宋体" w:hAnsi="宋体"/>
          <w:b/>
          <w:color w:val="auto"/>
          <w:sz w:val="24"/>
          <w:szCs w:val="24"/>
          <w:highlight w:val="none"/>
        </w:rPr>
        <w:t>4.1.</w:t>
      </w:r>
      <w:r>
        <w:rPr>
          <w:rFonts w:hint="eastAsia" w:ascii="宋体" w:hAnsi="宋体"/>
          <w:b/>
          <w:color w:val="auto"/>
          <w:sz w:val="24"/>
          <w:szCs w:val="24"/>
          <w:highlight w:val="none"/>
        </w:rPr>
        <w:t>纪律管理</w:t>
      </w:r>
    </w:p>
    <w:p w14:paraId="122FCF5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（1）作息制度</w:t>
      </w:r>
    </w:p>
    <w:p w14:paraId="0F5CF103">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w:t>
      </w:r>
      <w:r>
        <w:rPr>
          <w:rFonts w:hint="eastAsia" w:ascii="宋体" w:hAnsi="宋体"/>
          <w:color w:val="auto"/>
          <w:sz w:val="24"/>
          <w:szCs w:val="24"/>
          <w:highlight w:val="none"/>
        </w:rPr>
        <w:t>严格执行统一的作息时间，按时熄灯（通常为</w:t>
      </w:r>
      <w:r>
        <w:rPr>
          <w:rFonts w:hint="eastAsia" w:ascii="宋体" w:hAnsi="宋体"/>
          <w:color w:val="auto"/>
          <w:sz w:val="24"/>
          <w:szCs w:val="24"/>
          <w:highlight w:val="none"/>
          <w:lang w:val="en-US" w:eastAsia="zh-CN"/>
        </w:rPr>
        <w:t>xx</w:t>
      </w:r>
      <w:r>
        <w:rPr>
          <w:rFonts w:hint="eastAsia" w:ascii="宋体" w:hAnsi="宋体"/>
          <w:color w:val="auto"/>
          <w:sz w:val="24"/>
          <w:szCs w:val="24"/>
          <w:highlight w:val="none"/>
        </w:rPr>
        <w:t>:00或</w:t>
      </w:r>
      <w:r>
        <w:rPr>
          <w:rFonts w:hint="eastAsia" w:ascii="宋体" w:hAnsi="宋体"/>
          <w:color w:val="auto"/>
          <w:sz w:val="24"/>
          <w:szCs w:val="24"/>
          <w:highlight w:val="none"/>
          <w:lang w:val="en-US" w:eastAsia="zh-CN"/>
        </w:rPr>
        <w:t>xx</w:t>
      </w:r>
      <w:r>
        <w:rPr>
          <w:rFonts w:hint="eastAsia" w:ascii="宋体" w:hAnsi="宋体"/>
          <w:color w:val="auto"/>
          <w:sz w:val="24"/>
          <w:szCs w:val="24"/>
          <w:highlight w:val="none"/>
        </w:rPr>
        <w:t>:00）、起床（如</w:t>
      </w:r>
      <w:r>
        <w:rPr>
          <w:rFonts w:hint="eastAsia" w:ascii="宋体" w:hAnsi="宋体"/>
          <w:color w:val="auto"/>
          <w:sz w:val="24"/>
          <w:szCs w:val="24"/>
          <w:highlight w:val="none"/>
          <w:lang w:val="en-US" w:eastAsia="zh-CN"/>
        </w:rPr>
        <w:t>x</w:t>
      </w:r>
      <w:r>
        <w:rPr>
          <w:rFonts w:hint="eastAsia" w:ascii="宋体" w:hAnsi="宋体"/>
          <w:color w:val="auto"/>
          <w:sz w:val="24"/>
          <w:szCs w:val="24"/>
          <w:highlight w:val="none"/>
        </w:rPr>
        <w:t>:00），午休和晚寝期间保持安静，禁止喧哗或影响他人休息的行为。</w:t>
      </w:r>
    </w:p>
    <w:p w14:paraId="7941144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2)</w:t>
      </w:r>
      <w:r>
        <w:rPr>
          <w:rFonts w:hint="eastAsia" w:ascii="宋体" w:hAnsi="宋体"/>
          <w:color w:val="auto"/>
          <w:sz w:val="24"/>
          <w:szCs w:val="24"/>
          <w:highlight w:val="none"/>
        </w:rPr>
        <w:t>上课、晚自习期间禁止逗留宿舍，特殊情况需持班主任或校医证明方可进入。</w:t>
      </w:r>
    </w:p>
    <w:p w14:paraId="05DF085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（2）出入管理</w:t>
      </w:r>
    </w:p>
    <w:p w14:paraId="156E7F81">
      <w:pPr>
        <w:spacing w:line="360" w:lineRule="auto"/>
        <w:ind w:firstLine="720" w:firstLineChars="3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学生凭胸卡进出宿舍区，非住宿人员不得随意进入，来访需登记并经管理员批准。</w:t>
      </w:r>
    </w:p>
    <w:p w14:paraId="35136B2D">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2)</w:t>
      </w:r>
      <w:r>
        <w:rPr>
          <w:rFonts w:hint="eastAsia" w:ascii="宋体" w:hAnsi="宋体"/>
          <w:color w:val="auto"/>
          <w:sz w:val="24"/>
          <w:szCs w:val="24"/>
          <w:highlight w:val="none"/>
        </w:rPr>
        <w:t>严禁男女生互串宿舍，特殊情况需通过宿管老师协调。</w:t>
      </w:r>
    </w:p>
    <w:p w14:paraId="7F66B9D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行为规范</w:t>
      </w:r>
    </w:p>
    <w:p w14:paraId="0B55615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2)</w:t>
      </w:r>
      <w:r>
        <w:rPr>
          <w:rFonts w:hint="eastAsia" w:ascii="宋体" w:hAnsi="宋体"/>
          <w:color w:val="auto"/>
          <w:sz w:val="24"/>
          <w:szCs w:val="24"/>
          <w:highlight w:val="none"/>
        </w:rPr>
        <w:t xml:space="preserve"> 禁止吸烟、饮酒、赌博、打架斗殴、携带管制刀具或违禁物品。</w:t>
      </w:r>
    </w:p>
    <w:p w14:paraId="073E0E01">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 xml:space="preserve"> 禁止使用大功率电器（如电热毯、电饭锅），严禁私拉电线或明火。</w:t>
      </w:r>
    </w:p>
    <w:p w14:paraId="27CE3DEA">
      <w:pPr>
        <w:spacing w:line="360" w:lineRule="auto"/>
        <w:ind w:firstLine="241" w:firstLineChars="100"/>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ascii="宋体" w:hAnsi="宋体"/>
          <w:b/>
          <w:color w:val="auto"/>
          <w:sz w:val="24"/>
          <w:szCs w:val="24"/>
          <w:highlight w:val="none"/>
        </w:rPr>
        <w:t xml:space="preserve"> 4.2</w:t>
      </w:r>
      <w:r>
        <w:rPr>
          <w:rFonts w:hint="eastAsia" w:ascii="宋体" w:hAnsi="宋体"/>
          <w:b/>
          <w:color w:val="auto"/>
          <w:sz w:val="24"/>
          <w:szCs w:val="24"/>
          <w:highlight w:val="none"/>
        </w:rPr>
        <w:t>.卫生管理</w:t>
      </w:r>
    </w:p>
    <w:p w14:paraId="1FAEC2F2">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 xml:space="preserve">（1）值日制度 </w:t>
      </w:r>
    </w:p>
    <w:p w14:paraId="44634418">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）宿舍内每日轮值清扫，值日生负责地面、门窗、公共区域的清洁，垃圾需定点投放。</w:t>
      </w:r>
    </w:p>
    <w:p w14:paraId="2E75AA83">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2</w:t>
      </w:r>
      <w:r>
        <w:rPr>
          <w:rFonts w:hint="eastAsia" w:ascii="宋体" w:hAnsi="宋体"/>
          <w:color w:val="auto"/>
          <w:sz w:val="24"/>
          <w:szCs w:val="24"/>
          <w:highlight w:val="none"/>
        </w:rPr>
        <w:t>）每周组织大扫除，由管理员或学生会检查评分，不合格者通报批评。</w:t>
      </w:r>
    </w:p>
    <w:p w14:paraId="25DE5A74">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 xml:space="preserve">（2）个人内务标准 </w:t>
      </w:r>
    </w:p>
    <w:p w14:paraId="1C4B1280">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）床铺需叠成“豆腐块”状，被褥、洗漱用品统一摆放方向，鞋子整齐置于床下。</w:t>
      </w:r>
    </w:p>
    <w:p w14:paraId="05CC362B">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2</w:t>
      </w:r>
      <w:r>
        <w:rPr>
          <w:rFonts w:hint="eastAsia" w:ascii="宋体" w:hAnsi="宋体"/>
          <w:color w:val="auto"/>
          <w:sz w:val="24"/>
          <w:szCs w:val="24"/>
          <w:highlight w:val="none"/>
        </w:rPr>
        <w:t>）禁止乱涂乱画、乱泼污水，垃圾不得堆放在走廊或抛至窗外。</w:t>
      </w:r>
    </w:p>
    <w:p w14:paraId="06658757">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 xml:space="preserve">（3）公共区域维护 </w:t>
      </w:r>
    </w:p>
    <w:p w14:paraId="5EAE6CEF">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）走廊、洗漱间、楼梯等由管理员或专职人员每日清扫，确保无积水、无杂物。</w:t>
      </w:r>
    </w:p>
    <w:p w14:paraId="04A93B1E">
      <w:pPr>
        <w:spacing w:line="360" w:lineRule="auto"/>
        <w:ind w:firstLine="482" w:firstLineChars="200"/>
        <w:rPr>
          <w:rFonts w:ascii="宋体" w:hAnsi="宋体"/>
          <w:b/>
          <w:color w:val="auto"/>
          <w:sz w:val="24"/>
          <w:szCs w:val="24"/>
          <w:highlight w:val="none"/>
        </w:rPr>
      </w:pPr>
      <w:r>
        <w:rPr>
          <w:rFonts w:ascii="宋体" w:hAnsi="宋体"/>
          <w:b/>
          <w:color w:val="auto"/>
          <w:sz w:val="24"/>
          <w:szCs w:val="24"/>
          <w:highlight w:val="none"/>
        </w:rPr>
        <w:t>4.3</w:t>
      </w:r>
      <w:r>
        <w:rPr>
          <w:rFonts w:hint="eastAsia" w:ascii="宋体" w:hAnsi="宋体"/>
          <w:b/>
          <w:color w:val="auto"/>
          <w:sz w:val="24"/>
          <w:szCs w:val="24"/>
          <w:highlight w:val="none"/>
        </w:rPr>
        <w:t>.安全管理</w:t>
      </w:r>
    </w:p>
    <w:p w14:paraId="56C483FD">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（1）设施安全</w:t>
      </w:r>
    </w:p>
    <w:p w14:paraId="453817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）定期检查消防器材、电路设备，发现故障及时报修，禁止擅自拆改。</w:t>
      </w:r>
    </w:p>
    <w:p w14:paraId="3CF232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2</w:t>
      </w:r>
      <w:r>
        <w:rPr>
          <w:rFonts w:hint="eastAsia" w:ascii="宋体" w:hAnsi="宋体"/>
          <w:color w:val="auto"/>
          <w:sz w:val="24"/>
          <w:szCs w:val="24"/>
          <w:highlight w:val="none"/>
        </w:rPr>
        <w:t>）宿舍无人时需锁门关窗，贵重物品建议寄存或随身携带。</w:t>
      </w:r>
    </w:p>
    <w:p w14:paraId="75A4DB0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（2）应急处理 </w:t>
      </w:r>
    </w:p>
    <w:p w14:paraId="79BE7C5F">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）制定火灾、突发疾病等应急预案，管理员需掌握基本急救技能并定期组织演练。</w:t>
      </w:r>
    </w:p>
    <w:p w14:paraId="44B9048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2</w:t>
      </w:r>
      <w:r>
        <w:rPr>
          <w:rFonts w:hint="eastAsia" w:ascii="宋体" w:hAnsi="宋体"/>
          <w:color w:val="auto"/>
          <w:sz w:val="24"/>
          <w:szCs w:val="24"/>
          <w:highlight w:val="none"/>
        </w:rPr>
        <w:t>）发现安全隐患（如违禁物品、设施损坏）需立即上报并处理。</w:t>
      </w:r>
    </w:p>
    <w:p w14:paraId="5E6951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（3）夜间巡查  </w:t>
      </w:r>
    </w:p>
    <w:p w14:paraId="75FAB29C">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1</w:t>
      </w:r>
      <w:r>
        <w:rPr>
          <w:rFonts w:hint="eastAsia" w:ascii="宋体" w:hAnsi="宋体"/>
          <w:color w:val="auto"/>
          <w:sz w:val="24"/>
          <w:szCs w:val="24"/>
          <w:highlight w:val="none"/>
        </w:rPr>
        <w:t>）管理员每晚查寝，记录学生归宿情况，对夜不归宿者通报班主任并严肃处理。</w:t>
      </w:r>
    </w:p>
    <w:p w14:paraId="156F4B53">
      <w:pPr>
        <w:spacing w:line="360" w:lineRule="auto"/>
        <w:ind w:firstLine="482" w:firstLineChars="200"/>
        <w:rPr>
          <w:rFonts w:ascii="宋体" w:hAnsi="宋体"/>
          <w:b/>
          <w:color w:val="auto"/>
          <w:sz w:val="24"/>
          <w:szCs w:val="24"/>
          <w:highlight w:val="none"/>
        </w:rPr>
      </w:pPr>
      <w:r>
        <w:rPr>
          <w:rFonts w:ascii="宋体" w:hAnsi="宋体"/>
          <w:b/>
          <w:color w:val="auto"/>
          <w:sz w:val="24"/>
          <w:szCs w:val="24"/>
          <w:highlight w:val="none"/>
        </w:rPr>
        <w:t>4.4.</w:t>
      </w:r>
      <w:r>
        <w:rPr>
          <w:rFonts w:hint="eastAsia" w:ascii="宋体" w:hAnsi="宋体"/>
          <w:b/>
          <w:color w:val="auto"/>
          <w:sz w:val="24"/>
          <w:szCs w:val="24"/>
          <w:highlight w:val="none"/>
        </w:rPr>
        <w:t>公物与资源管理</w:t>
      </w:r>
    </w:p>
    <w:p w14:paraId="5CD8F62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（1）设施维护  </w:t>
      </w:r>
    </w:p>
    <w:p w14:paraId="52923291">
      <w:pPr>
        <w:spacing w:line="360" w:lineRule="auto"/>
        <w:ind w:firstLine="240" w:firstLineChars="100"/>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）宿舍家具、电器由学校统一配置，损坏需照价赔偿，故意破坏者加倍处罚。</w:t>
      </w:r>
    </w:p>
    <w:p w14:paraId="2C19A5DB">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2</w:t>
      </w:r>
      <w:r>
        <w:rPr>
          <w:rFonts w:hint="eastAsia" w:ascii="宋体" w:hAnsi="宋体"/>
          <w:color w:val="auto"/>
          <w:sz w:val="24"/>
          <w:szCs w:val="24"/>
          <w:highlight w:val="none"/>
        </w:rPr>
        <w:t>）节约水电，杜绝“长明灯”“长流水”，离寝时关闭所有电源。</w:t>
      </w:r>
    </w:p>
    <w:p w14:paraId="1D682C3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（2）维修报修</w:t>
      </w:r>
    </w:p>
    <w:p w14:paraId="523516D1">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）学生通过宿舍长或管理员登记报修，维修后需验收确认。</w:t>
      </w:r>
    </w:p>
    <w:p w14:paraId="7C6D370B">
      <w:pPr>
        <w:spacing w:line="360" w:lineRule="auto"/>
        <w:ind w:firstLine="482" w:firstLineChars="200"/>
        <w:rPr>
          <w:rFonts w:ascii="宋体" w:hAnsi="宋体"/>
          <w:b/>
          <w:color w:val="auto"/>
          <w:sz w:val="24"/>
          <w:szCs w:val="24"/>
          <w:highlight w:val="none"/>
        </w:rPr>
      </w:pPr>
      <w:r>
        <w:rPr>
          <w:rFonts w:ascii="宋体" w:hAnsi="宋体"/>
          <w:b/>
          <w:color w:val="auto"/>
          <w:sz w:val="24"/>
          <w:szCs w:val="24"/>
          <w:highlight w:val="none"/>
        </w:rPr>
        <w:t>4.5</w:t>
      </w:r>
      <w:r>
        <w:rPr>
          <w:rFonts w:hint="eastAsia" w:ascii="宋体" w:hAnsi="宋体"/>
          <w:b/>
          <w:color w:val="auto"/>
          <w:sz w:val="24"/>
          <w:szCs w:val="24"/>
          <w:highlight w:val="none"/>
        </w:rPr>
        <w:t>.文明与心理健康</w:t>
      </w:r>
    </w:p>
    <w:p w14:paraId="105AB4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（1）宿舍文化建设 </w:t>
      </w:r>
    </w:p>
    <w:p w14:paraId="3E4D3937">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1</w:t>
      </w:r>
      <w:r>
        <w:rPr>
          <w:rFonts w:hint="eastAsia" w:ascii="宋体" w:hAnsi="宋体"/>
          <w:color w:val="auto"/>
          <w:sz w:val="24"/>
          <w:szCs w:val="24"/>
          <w:highlight w:val="none"/>
        </w:rPr>
        <w:t>）定期评选“文明宿舍”，通过内务评比、纪律考核等方式激励学生参与。</w:t>
      </w:r>
    </w:p>
    <w:p w14:paraId="755C8752">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2</w:t>
      </w:r>
      <w:r>
        <w:rPr>
          <w:rFonts w:hint="eastAsia" w:ascii="宋体" w:hAnsi="宋体"/>
          <w:color w:val="auto"/>
          <w:sz w:val="24"/>
          <w:szCs w:val="24"/>
          <w:highlight w:val="none"/>
        </w:rPr>
        <w:t>）倡导互助友爱，禁止孤立、霸凌等行为，矛盾由宿舍长或管理员调解。</w:t>
      </w:r>
    </w:p>
    <w:p w14:paraId="494DA4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（2）心理健康支持</w:t>
      </w:r>
    </w:p>
    <w:p w14:paraId="2C8AA9F1">
      <w:pPr>
        <w:keepNext w:val="0"/>
        <w:keepLines w:val="0"/>
        <w:pageBreakBefore w:val="0"/>
        <w:widowControl w:val="0"/>
        <w:kinsoku/>
        <w:wordWrap/>
        <w:overflowPunct/>
        <w:topLinePunct w:val="0"/>
        <w:autoSpaceDE/>
        <w:autoSpaceDN/>
        <w:bidi w:val="0"/>
        <w:adjustRightInd/>
        <w:spacing w:before="0" w:after="0" w:line="360" w:lineRule="auto"/>
        <w:ind w:firstLine="480" w:firstLineChars="200"/>
        <w:contextualSpacing/>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olor w:val="auto"/>
          <w:sz w:val="24"/>
          <w:szCs w:val="24"/>
          <w:highlight w:val="none"/>
        </w:rPr>
        <w:t>1）管理员需关注学生情绪变化，及时与班主任或心理老师沟通，提供必要帮助。</w:t>
      </w:r>
    </w:p>
    <w:p w14:paraId="7DDDB9E4">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default" w:ascii="宋体" w:hAnsi="宋体" w:eastAsia="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四、考核标准</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8019"/>
      </w:tblGrid>
      <w:tr w14:paraId="062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82" w:type="pct"/>
            <w:vAlign w:val="center"/>
          </w:tcPr>
          <w:p w14:paraId="24C1C22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考核项目</w:t>
            </w:r>
          </w:p>
        </w:tc>
        <w:tc>
          <w:tcPr>
            <w:tcW w:w="4317" w:type="pct"/>
            <w:vAlign w:val="center"/>
          </w:tcPr>
          <w:p w14:paraId="505CED10">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考核内容</w:t>
            </w:r>
          </w:p>
        </w:tc>
      </w:tr>
      <w:tr w14:paraId="708B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682" w:type="pct"/>
            <w:vMerge w:val="restart"/>
            <w:vAlign w:val="center"/>
          </w:tcPr>
          <w:p w14:paraId="5D68846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工作纪律（30分）</w:t>
            </w:r>
          </w:p>
        </w:tc>
        <w:tc>
          <w:tcPr>
            <w:tcW w:w="4317" w:type="pct"/>
          </w:tcPr>
          <w:p w14:paraId="25924F6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出勤情况（10 分）</w:t>
            </w:r>
          </w:p>
          <w:p w14:paraId="35E61F5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1、严格遵守工作时间，无迟到、早退现象。迟到或早退一次扣2分，旷工一次扣5分。</w:t>
            </w:r>
          </w:p>
          <w:p w14:paraId="4EE1BA7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2、按规定履行请假手续，未请假或请假未批准擅自离岗视为旷工。</w:t>
            </w:r>
          </w:p>
        </w:tc>
      </w:tr>
      <w:tr w14:paraId="5BBA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82" w:type="pct"/>
            <w:vMerge w:val="continue"/>
            <w:vAlign w:val="center"/>
          </w:tcPr>
          <w:p w14:paraId="617DB13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788F49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在岗状态（10 分）</w:t>
            </w:r>
          </w:p>
          <w:p w14:paraId="54396E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1、</w:t>
            </w:r>
            <w:r>
              <w:rPr>
                <w:rFonts w:hint="eastAsia" w:ascii="宋体" w:hAnsi="宋体" w:eastAsia="宋体" w:cs="宋体"/>
                <w:color w:val="auto"/>
                <w:kern w:val="0"/>
                <w:sz w:val="24"/>
                <w:szCs w:val="24"/>
                <w:highlight w:val="none"/>
              </w:rPr>
              <w:t>工作期间不得擅自离岗、串岗、脱岗。发现一次扣3分。</w:t>
            </w:r>
          </w:p>
          <w:p w14:paraId="34ACF7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2、严禁在岗位上睡觉、玩手机、玩游戏、聊天、吸烟、喝酒等与工作无关的行为，发现一次扣3分</w:t>
            </w:r>
          </w:p>
        </w:tc>
      </w:tr>
      <w:tr w14:paraId="356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682" w:type="pct"/>
            <w:vMerge w:val="continue"/>
            <w:vAlign w:val="center"/>
          </w:tcPr>
          <w:p w14:paraId="4587465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6FC1E3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服从管理（10 分）</w:t>
            </w:r>
          </w:p>
          <w:p w14:paraId="5926044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1、听从学校安保负责人和上级领导的工作安排，对合理的工作指令应无条件执行。若有异议，应先执行后申诉。未服从安排一次扣5分。</w:t>
            </w:r>
          </w:p>
          <w:p w14:paraId="5C7CBAA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2、积极配合学校开展的各项安全工作和临时性任务，不推诿、不敷衍。若因个人原因影响工作开展，一次扣5分。</w:t>
            </w:r>
          </w:p>
        </w:tc>
      </w:tr>
      <w:tr w14:paraId="3916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682" w:type="pct"/>
            <w:vMerge w:val="restart"/>
            <w:vAlign w:val="center"/>
          </w:tcPr>
          <w:p w14:paraId="4C0E910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门禁管理（30分）</w:t>
            </w:r>
          </w:p>
        </w:tc>
        <w:tc>
          <w:tcPr>
            <w:tcW w:w="4317" w:type="pct"/>
          </w:tcPr>
          <w:p w14:paraId="416ABF0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人员出入管理（15 分）</w:t>
            </w:r>
          </w:p>
          <w:p w14:paraId="3E544EE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1、严格执行门禁制度，对进入校园的人员进行有效身份核实。未按规定核实身份，导致无关人员进入校园一次扣3分。</w:t>
            </w:r>
          </w:p>
          <w:p w14:paraId="23AC084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2、规范做好外来人员登记工作，信息登记完整、准确，包括姓名、身份证号、来访事由、联系电话、来访时间、离校时间等。登记信息不完整或错误一次扣2分。</w:t>
            </w:r>
          </w:p>
          <w:p w14:paraId="438F1DD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3、学生上课期间，无正常手续（如老师批准的假条等）不得让学生外出校园。私自放行一次扣5分。</w:t>
            </w:r>
          </w:p>
        </w:tc>
      </w:tr>
      <w:tr w14:paraId="31B6A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82" w:type="pct"/>
            <w:vMerge w:val="continue"/>
            <w:vAlign w:val="center"/>
          </w:tcPr>
          <w:p w14:paraId="3B701C5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222A1CC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车辆出入管理（15 分）</w:t>
            </w:r>
          </w:p>
          <w:p w14:paraId="00A0319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1、指挥车辆有序进出校园，引导车辆在指定区域规范停放。因管理不善导致车辆拥堵或乱停乱放一次扣3分。</w:t>
            </w:r>
          </w:p>
          <w:p w14:paraId="47D014A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2、对外来车辆进行严格检查和登记，包括车牌号码、进入时间、离开时间、来访事由等。未按规定登记或登记错误一次扣2分。</w:t>
            </w:r>
          </w:p>
          <w:p w14:paraId="7FDC726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阻止未经许可的车辆进入校园，擅自放行一次扣5分</w:t>
            </w:r>
          </w:p>
        </w:tc>
      </w:tr>
      <w:tr w14:paraId="32A2A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682" w:type="pct"/>
            <w:vMerge w:val="restart"/>
            <w:vAlign w:val="center"/>
          </w:tcPr>
          <w:p w14:paraId="099F47FD">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巡逻工作（20分）</w:t>
            </w:r>
          </w:p>
          <w:p w14:paraId="3C723846">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52389D5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巡逻执行（10 分）</w:t>
            </w:r>
          </w:p>
          <w:p w14:paraId="3E56157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1、按照规定的巡逻路线和时间进行定时巡逻，巡逻记录完整、准确。未按时巡逻或巡逻记录造假一次扣3分。</w:t>
            </w:r>
          </w:p>
          <w:p w14:paraId="32A8B78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2、巡逻过程中保持警惕，认真检查校园内的安全隐患，如门窗是否关闭、水电设施是否正常等。因巡逻不认真导致安全隐患未被及时发现，一次扣3分。</w:t>
            </w:r>
          </w:p>
        </w:tc>
      </w:tr>
      <w:tr w14:paraId="0312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82" w:type="pct"/>
            <w:vMerge w:val="continue"/>
            <w:vAlign w:val="center"/>
          </w:tcPr>
          <w:p w14:paraId="001DC40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6D2DC8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异常情况处理（10 分）</w:t>
            </w:r>
          </w:p>
          <w:p w14:paraId="14BC061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b/>
                <w:color w:val="auto"/>
                <w:kern w:val="0"/>
                <w:sz w:val="24"/>
                <w:szCs w:val="24"/>
                <w:highlight w:val="none"/>
              </w:rPr>
              <w:t>、</w:t>
            </w:r>
            <w:r>
              <w:rPr>
                <w:rFonts w:hint="eastAsia" w:ascii="宋体" w:hAnsi="宋体" w:eastAsia="宋体" w:cs="宋体"/>
                <w:color w:val="auto"/>
                <w:kern w:val="0"/>
                <w:sz w:val="24"/>
                <w:szCs w:val="24"/>
                <w:highlight w:val="none"/>
              </w:rPr>
              <w:t>巡逻时发现异常情况（如可疑人员、物品，安全设施损坏等）应及时报告并采取相应措施。未及时报告或处理不当一次扣5分。</w:t>
            </w:r>
          </w:p>
          <w:p w14:paraId="65F0C7E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2、对发生的突发事件（如盗窃、打架斗殴等），应迅速赶到现场进行制止和处理，并及时通知学校相关部门和报警。因处理不及时或措施不当导致事态扩大，一次扣8分。</w:t>
            </w:r>
          </w:p>
        </w:tc>
      </w:tr>
      <w:tr w14:paraId="7EFE3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2" w:type="pct"/>
            <w:vMerge w:val="restart"/>
            <w:vAlign w:val="center"/>
          </w:tcPr>
          <w:p w14:paraId="7122628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安全防范（</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0分）</w:t>
            </w:r>
          </w:p>
          <w:p w14:paraId="713E25B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color w:val="auto"/>
                <w:kern w:val="0"/>
                <w:sz w:val="24"/>
                <w:szCs w:val="24"/>
                <w:highlight w:val="none"/>
              </w:rPr>
            </w:pPr>
          </w:p>
        </w:tc>
        <w:tc>
          <w:tcPr>
            <w:tcW w:w="4317" w:type="pct"/>
          </w:tcPr>
          <w:p w14:paraId="02C0D8A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安全设施维护（</w:t>
            </w:r>
            <w:r>
              <w:rPr>
                <w:rFonts w:hint="eastAsia" w:ascii="宋体" w:hAnsi="宋体" w:cs="宋体"/>
                <w:b/>
                <w:color w:val="auto"/>
                <w:kern w:val="0"/>
                <w:sz w:val="24"/>
                <w:szCs w:val="24"/>
                <w:highlight w:val="none"/>
                <w:lang w:val="en-US" w:eastAsia="zh-CN"/>
              </w:rPr>
              <w:t>10</w:t>
            </w:r>
            <w:r>
              <w:rPr>
                <w:rFonts w:hint="eastAsia" w:ascii="宋体" w:hAnsi="宋体" w:eastAsia="宋体" w:cs="宋体"/>
                <w:b/>
                <w:color w:val="auto"/>
                <w:kern w:val="0"/>
                <w:sz w:val="24"/>
                <w:szCs w:val="24"/>
                <w:highlight w:val="none"/>
              </w:rPr>
              <w:t xml:space="preserve"> 分）</w:t>
            </w:r>
          </w:p>
          <w:p w14:paraId="2C80818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1、熟悉校园内各类安全设施（如监控设备、报警系统、消防器材等）的位置和使用方法，定期进行检查。因不熟悉设备导致不能正常使用或未及时发现设备故障一次扣2分。</w:t>
            </w:r>
          </w:p>
          <w:p w14:paraId="7BFD13D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2、协助学校相关部门做好安全设施的维护和保养工作，确保设施正常运行。因个人原因导致安全设施损坏或不能正常使用，一次扣3分。</w:t>
            </w:r>
          </w:p>
        </w:tc>
      </w:tr>
      <w:tr w14:paraId="34BC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682" w:type="pct"/>
            <w:vMerge w:val="continue"/>
          </w:tcPr>
          <w:p w14:paraId="27A892D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kern w:val="0"/>
                <w:sz w:val="24"/>
                <w:szCs w:val="24"/>
                <w:highlight w:val="none"/>
              </w:rPr>
            </w:pPr>
          </w:p>
        </w:tc>
        <w:tc>
          <w:tcPr>
            <w:tcW w:w="4317" w:type="pct"/>
          </w:tcPr>
          <w:p w14:paraId="230FBDD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安全知识宣传（</w:t>
            </w:r>
            <w:r>
              <w:rPr>
                <w:rFonts w:hint="eastAsia" w:ascii="宋体" w:hAnsi="宋体" w:cs="宋体"/>
                <w:b/>
                <w:color w:val="auto"/>
                <w:kern w:val="0"/>
                <w:sz w:val="24"/>
                <w:szCs w:val="24"/>
                <w:highlight w:val="none"/>
                <w:lang w:val="en-US" w:eastAsia="zh-CN"/>
              </w:rPr>
              <w:t>10</w:t>
            </w:r>
            <w:r>
              <w:rPr>
                <w:rFonts w:hint="eastAsia" w:ascii="宋体" w:hAnsi="宋体" w:eastAsia="宋体" w:cs="宋体"/>
                <w:b/>
                <w:color w:val="auto"/>
                <w:kern w:val="0"/>
                <w:sz w:val="24"/>
                <w:szCs w:val="24"/>
                <w:highlight w:val="none"/>
              </w:rPr>
              <w:t xml:space="preserve"> 分）</w:t>
            </w:r>
          </w:p>
          <w:p w14:paraId="011334D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1、积极向师生宣传安全知识，提高师生的安全意识。每学期至少协助学校开展2次安全知识</w:t>
            </w:r>
          </w:p>
        </w:tc>
      </w:tr>
    </w:tbl>
    <w:p w14:paraId="2E399A42">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lang w:val="en-US" w:eastAsia="zh-CN"/>
        </w:rPr>
        <w:t>、其他要求</w:t>
      </w:r>
    </w:p>
    <w:p w14:paraId="31728F52">
      <w:pPr>
        <w:keepNext w:val="0"/>
        <w:keepLines w:val="0"/>
        <w:pageBreakBefore w:val="0"/>
        <w:widowControl/>
        <w:kinsoku/>
        <w:wordWrap/>
        <w:overflowPunct/>
        <w:topLinePunct w:val="0"/>
        <w:bidi w:val="0"/>
        <w:adjustRightInd w:val="0"/>
        <w:spacing w:line="360" w:lineRule="auto"/>
        <w:ind w:firstLine="480" w:firstLineChars="200"/>
        <w:jc w:val="left"/>
        <w:textAlignment w:val="auto"/>
        <w:outlineLvl w:val="9"/>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val="zh-CN" w:eastAsia="zh-CN"/>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10</w:t>
      </w:r>
      <w:r>
        <w:rPr>
          <w:rFonts w:hint="eastAsia" w:ascii="宋体" w:hAnsi="宋体" w:eastAsia="宋体" w:cs="宋体"/>
          <w:color w:val="auto"/>
          <w:kern w:val="0"/>
          <w:sz w:val="24"/>
          <w:szCs w:val="24"/>
          <w:highlight w:val="none"/>
          <w:u w:val="single"/>
          <w:lang w:val="en-US" w:eastAsia="zh-CN"/>
        </w:rPr>
        <w:t>0</w:t>
      </w:r>
      <w:r>
        <w:rPr>
          <w:rFonts w:hint="eastAsia" w:ascii="宋体" w:hAnsi="宋体" w:eastAsia="宋体" w:cs="宋体"/>
          <w:color w:val="auto"/>
          <w:kern w:val="0"/>
          <w:sz w:val="24"/>
          <w:szCs w:val="24"/>
          <w:highlight w:val="none"/>
          <w:u w:val="single"/>
          <w:lang w:val="zh-CN" w:eastAsia="zh-CN"/>
        </w:rPr>
        <w:t xml:space="preserve"> </w:t>
      </w:r>
      <w:r>
        <w:rPr>
          <w:rFonts w:hint="eastAsia" w:ascii="宋体" w:hAnsi="宋体" w:eastAsia="宋体" w:cs="宋体"/>
          <w:color w:val="auto"/>
          <w:kern w:val="0"/>
          <w:sz w:val="24"/>
          <w:szCs w:val="24"/>
          <w:highlight w:val="none"/>
          <w:lang w:val="zh-CN" w:eastAsia="zh-CN"/>
        </w:rPr>
        <w:t>%。</w:t>
      </w:r>
    </w:p>
    <w:p w14:paraId="28EE905E">
      <w:pPr>
        <w:keepNext w:val="0"/>
        <w:keepLines w:val="0"/>
        <w:pageBreakBefore w:val="0"/>
        <w:widowControl w:val="0"/>
        <w:kinsoku/>
        <w:wordWrap/>
        <w:overflowPunct/>
        <w:topLinePunct w:val="0"/>
        <w:autoSpaceDE/>
        <w:autoSpaceDN/>
        <w:bidi w:val="0"/>
        <w:adjustRightInd/>
        <w:snapToGrid/>
        <w:spacing w:line="360" w:lineRule="auto"/>
        <w:ind w:right="210"/>
        <w:jc w:val="left"/>
        <w:textAlignment w:val="auto"/>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六</w:t>
      </w:r>
      <w:r>
        <w:rPr>
          <w:rFonts w:hint="eastAsia" w:ascii="宋体" w:hAnsi="宋体" w:eastAsia="宋体" w:cs="宋体"/>
          <w:b/>
          <w:color w:val="auto"/>
          <w:sz w:val="24"/>
          <w:szCs w:val="24"/>
          <w:highlight w:val="none"/>
          <w:u w:val="none"/>
        </w:rPr>
        <w:t>、报价方式</w:t>
      </w:r>
    </w:p>
    <w:p w14:paraId="3F8039BD">
      <w:pPr>
        <w:keepNext w:val="0"/>
        <w:keepLines w:val="0"/>
        <w:pageBreakBefore w:val="0"/>
        <w:widowControl w:val="0"/>
        <w:shd w:val="clear" w:color="auto" w:fill="auto"/>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本项目报价为</w:t>
      </w:r>
      <w:r>
        <w:rPr>
          <w:rFonts w:hint="eastAsia" w:ascii="宋体" w:hAnsi="宋体" w:eastAsia="宋体" w:cs="宋体"/>
          <w:b/>
          <w:bCs/>
          <w:color w:val="auto"/>
          <w:spacing w:val="2"/>
          <w:sz w:val="24"/>
          <w:szCs w:val="24"/>
          <w:highlight w:val="none"/>
          <w:u w:val="none"/>
        </w:rPr>
        <w:t>固定</w:t>
      </w:r>
      <w:r>
        <w:rPr>
          <w:rFonts w:hint="eastAsia" w:ascii="宋体" w:hAnsi="宋体" w:cs="宋体"/>
          <w:b/>
          <w:bCs/>
          <w:color w:val="auto"/>
          <w:spacing w:val="2"/>
          <w:sz w:val="24"/>
          <w:szCs w:val="24"/>
          <w:highlight w:val="none"/>
          <w:u w:val="none"/>
          <w:lang w:val="en-US" w:eastAsia="zh-CN"/>
        </w:rPr>
        <w:t>总</w:t>
      </w:r>
      <w:r>
        <w:rPr>
          <w:rFonts w:hint="eastAsia" w:ascii="宋体" w:hAnsi="宋体" w:eastAsia="宋体" w:cs="宋体"/>
          <w:b/>
          <w:bCs/>
          <w:color w:val="auto"/>
          <w:spacing w:val="2"/>
          <w:sz w:val="24"/>
          <w:szCs w:val="24"/>
          <w:highlight w:val="none"/>
          <w:u w:val="none"/>
          <w:lang w:val="en-US" w:eastAsia="zh-CN"/>
        </w:rPr>
        <w:t>价</w:t>
      </w:r>
      <w:r>
        <w:rPr>
          <w:rFonts w:hint="eastAsia" w:ascii="宋体" w:hAnsi="宋体" w:eastAsia="宋体" w:cs="宋体"/>
          <w:color w:val="auto"/>
          <w:spacing w:val="2"/>
          <w:sz w:val="24"/>
          <w:szCs w:val="24"/>
          <w:highlight w:val="none"/>
          <w:u w:val="none"/>
        </w:rPr>
        <w:t>，</w:t>
      </w:r>
      <w:r>
        <w:rPr>
          <w:rFonts w:hint="eastAsia" w:ascii="宋体" w:hAnsi="宋体" w:eastAsia="宋体" w:cs="宋体"/>
          <w:color w:val="auto"/>
          <w:spacing w:val="2"/>
          <w:sz w:val="24"/>
          <w:szCs w:val="24"/>
          <w:highlight w:val="none"/>
          <w:u w:val="none"/>
          <w:lang w:val="en-US" w:eastAsia="zh-CN"/>
        </w:rPr>
        <w:t>投标报价</w:t>
      </w:r>
      <w:r>
        <w:rPr>
          <w:rFonts w:hint="eastAsia" w:ascii="宋体" w:hAnsi="宋体" w:eastAsia="宋体" w:cs="宋体"/>
          <w:color w:val="auto"/>
          <w:spacing w:val="2"/>
          <w:sz w:val="24"/>
          <w:szCs w:val="24"/>
          <w:highlight w:val="none"/>
          <w:u w:val="none"/>
        </w:rPr>
        <w:t>应包括</w:t>
      </w:r>
      <w:r>
        <w:rPr>
          <w:rFonts w:hint="eastAsia" w:ascii="宋体" w:hAnsi="宋体" w:eastAsia="宋体" w:cs="宋体"/>
          <w:color w:val="auto"/>
          <w:spacing w:val="2"/>
          <w:sz w:val="24"/>
          <w:szCs w:val="24"/>
          <w:highlight w:val="none"/>
          <w:u w:val="none"/>
          <w:lang w:eastAsia="zh-CN"/>
        </w:rPr>
        <w:t>招标文件</w:t>
      </w:r>
      <w:r>
        <w:rPr>
          <w:rFonts w:hint="eastAsia" w:ascii="宋体" w:hAnsi="宋体" w:eastAsia="宋体" w:cs="宋体"/>
          <w:color w:val="auto"/>
          <w:spacing w:val="2"/>
          <w:sz w:val="24"/>
          <w:szCs w:val="24"/>
          <w:highlight w:val="none"/>
          <w:u w:val="none"/>
        </w:rPr>
        <w:t>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pacing w:val="2"/>
          <w:sz w:val="24"/>
          <w:szCs w:val="24"/>
          <w:highlight w:val="none"/>
          <w:u w:val="none"/>
          <w:lang w:eastAsia="zh-CN"/>
        </w:rPr>
        <w:t>采购人</w:t>
      </w:r>
      <w:r>
        <w:rPr>
          <w:rFonts w:hint="eastAsia" w:ascii="宋体" w:hAnsi="宋体" w:eastAsia="宋体" w:cs="宋体"/>
          <w:color w:val="auto"/>
          <w:spacing w:val="2"/>
          <w:sz w:val="24"/>
          <w:szCs w:val="24"/>
          <w:highlight w:val="none"/>
          <w:u w:val="none"/>
        </w:rPr>
        <w:t>不再支付其他任何费用。</w:t>
      </w:r>
    </w:p>
    <w:p w14:paraId="3A0C8268">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eastAsia="宋体" w:cs="宋体"/>
          <w:color w:val="auto"/>
          <w:spacing w:val="2"/>
          <w:sz w:val="24"/>
          <w:szCs w:val="24"/>
          <w:highlight w:val="none"/>
          <w:u w:val="none"/>
        </w:rPr>
      </w:pPr>
      <w:r>
        <w:rPr>
          <w:rFonts w:hint="eastAsia" w:ascii="宋体" w:hAnsi="宋体" w:eastAsia="宋体" w:cs="宋体"/>
          <w:color w:val="auto"/>
          <w:spacing w:val="2"/>
          <w:sz w:val="24"/>
          <w:szCs w:val="24"/>
          <w:highlight w:val="none"/>
          <w:u w:val="none"/>
        </w:rPr>
        <w:t>报价货币为人民币，评审时以人民币为准。</w:t>
      </w:r>
    </w:p>
    <w:p w14:paraId="16AFB6C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rPr>
      </w:pPr>
    </w:p>
    <w:p w14:paraId="5474D1D7">
      <w:pPr>
        <w:pStyle w:val="113"/>
        <w:adjustRightInd w:val="0"/>
        <w:spacing w:line="360" w:lineRule="auto"/>
        <w:ind w:firstLine="480"/>
        <w:contextualSpacing/>
        <w:jc w:val="left"/>
        <w:rPr>
          <w:rFonts w:ascii="宋体" w:hAnsi="宋体"/>
          <w:bCs/>
          <w:color w:val="auto"/>
          <w:sz w:val="24"/>
          <w:highlight w:val="none"/>
        </w:rPr>
      </w:pPr>
    </w:p>
    <w:p w14:paraId="2B95C471">
      <w:pPr>
        <w:pStyle w:val="113"/>
        <w:adjustRightInd w:val="0"/>
        <w:spacing w:line="360" w:lineRule="auto"/>
        <w:ind w:firstLine="480"/>
        <w:contextualSpacing/>
        <w:jc w:val="left"/>
        <w:rPr>
          <w:rFonts w:ascii="宋体" w:hAnsi="宋体"/>
          <w:bCs/>
          <w:color w:val="auto"/>
          <w:sz w:val="24"/>
          <w:highlight w:val="none"/>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14:paraId="244B58E3">
      <w:pPr>
        <w:spacing w:line="360" w:lineRule="auto"/>
        <w:jc w:val="center"/>
        <w:outlineLvl w:val="0"/>
        <w:rPr>
          <w:b/>
          <w:color w:val="auto"/>
          <w:sz w:val="36"/>
          <w:szCs w:val="36"/>
          <w:highlight w:val="none"/>
        </w:rPr>
      </w:pPr>
      <w:bookmarkStart w:id="813" w:name="_Toc13366"/>
      <w:bookmarkStart w:id="814" w:name="_Toc99301425"/>
      <w:r>
        <w:rPr>
          <w:b/>
          <w:color w:val="auto"/>
          <w:sz w:val="36"/>
          <w:szCs w:val="36"/>
          <w:highlight w:val="none"/>
        </w:rPr>
        <w:t>第六章   拟签订的合同文本</w:t>
      </w:r>
      <w:bookmarkEnd w:id="813"/>
      <w:bookmarkEnd w:id="814"/>
    </w:p>
    <w:p w14:paraId="07E04CAE">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5" w:name="_Toc18832"/>
      <w:bookmarkStart w:id="816" w:name="_Toc99301426"/>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江苏省横林高级中学</w:t>
      </w:r>
      <w:r>
        <w:rPr>
          <w:rFonts w:hint="eastAsia" w:ascii="宋体" w:hAnsi="宋体" w:eastAsia="宋体" w:cs="宋体"/>
          <w:color w:val="auto"/>
          <w:sz w:val="24"/>
          <w:szCs w:val="24"/>
          <w:highlight w:val="none"/>
          <w:u w:val="single"/>
        </w:rPr>
        <w:t xml:space="preserve"> </w:t>
      </w:r>
    </w:p>
    <w:p w14:paraId="3EC90781">
      <w:pPr>
        <w:pStyle w:val="25"/>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5EC11E54">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服务期限</w:t>
      </w:r>
      <w:r>
        <w:rPr>
          <w:rFonts w:hint="eastAsia" w:ascii="宋体" w:hAnsi="宋体" w:eastAsia="宋体" w:cs="宋体"/>
          <w:b/>
          <w:bCs w:val="0"/>
          <w:color w:val="auto"/>
          <w:sz w:val="24"/>
          <w:szCs w:val="24"/>
          <w:highlight w:val="none"/>
          <w:lang w:eastAsia="zh-CN"/>
        </w:rPr>
        <w:t>：</w:t>
      </w:r>
      <w:r>
        <w:rPr>
          <w:rFonts w:hint="eastAsia" w:ascii="宋体" w:hAnsi="宋体" w:cs="宋体"/>
          <w:bCs/>
          <w:color w:val="auto"/>
          <w:sz w:val="24"/>
          <w:szCs w:val="24"/>
          <w:highlight w:val="none"/>
          <w:lang w:val="en-US" w:eastAsia="zh-CN"/>
        </w:rPr>
        <w:t>三年，合同一年一签。第一年服务期限为</w:t>
      </w:r>
      <w:r>
        <w:rPr>
          <w:rFonts w:hint="eastAsia" w:ascii="宋体" w:hAnsi="宋体" w:eastAsia="宋体" w:cs="宋体"/>
          <w:color w:val="auto"/>
          <w:sz w:val="24"/>
          <w:szCs w:val="24"/>
          <w:highlight w:val="none"/>
          <w:u w:val="single"/>
        </w:rPr>
        <w:t xml:space="preserve">    年   月   日</w:t>
      </w:r>
      <w:r>
        <w:rPr>
          <w:rFonts w:hint="eastAsia" w:ascii="宋体" w:hAnsi="宋体" w:cs="宋体"/>
          <w:bCs/>
          <w:color w:val="auto"/>
          <w:sz w:val="24"/>
          <w:szCs w:val="24"/>
          <w:highlight w:val="none"/>
          <w:lang w:val="en-US" w:eastAsia="zh-CN"/>
        </w:rPr>
        <w:t>至</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u w:val="none"/>
          <w:lang w:eastAsia="zh-CN"/>
        </w:rPr>
        <w:t>，</w:t>
      </w:r>
      <w:r>
        <w:rPr>
          <w:rFonts w:hint="eastAsia" w:ascii="宋体" w:hAnsi="宋体" w:cs="宋体"/>
          <w:bCs/>
          <w:color w:val="auto"/>
          <w:sz w:val="24"/>
          <w:szCs w:val="24"/>
          <w:highlight w:val="none"/>
          <w:lang w:val="en-US" w:eastAsia="zh-CN"/>
        </w:rPr>
        <w:t>其中首次进场后的第一个月为试用期，试用期满须经甲方考核，考核不合格，甲方可以解除合同，对此甲方不承担经济与法律责任。每年合同期满经甲方考核合格的，可续签下一年度合同；未通过考核的，不再续签下一年度合同</w:t>
      </w:r>
      <w:r>
        <w:rPr>
          <w:rFonts w:hint="eastAsia" w:ascii="宋体" w:hAnsi="宋体" w:eastAsia="宋体" w:cs="宋体"/>
          <w:bCs/>
          <w:color w:val="auto"/>
          <w:sz w:val="24"/>
          <w:szCs w:val="24"/>
          <w:highlight w:val="none"/>
          <w:lang w:val="en-US" w:eastAsia="zh-CN"/>
        </w:rPr>
        <w:t>。</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0E8C72E7">
      <w:pPr>
        <w:pStyle w:val="25"/>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/叁年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/叁年</w:t>
      </w:r>
      <w:r>
        <w:rPr>
          <w:rFonts w:hint="eastAsia" w:ascii="宋体" w:hAnsi="宋体" w:eastAsia="宋体" w:cs="宋体"/>
          <w:b/>
          <w:color w:val="auto"/>
          <w:sz w:val="24"/>
          <w:szCs w:val="24"/>
          <w:highlight w:val="none"/>
          <w:u w:val="single"/>
        </w:rPr>
        <w:t>）</w:t>
      </w:r>
      <w:r>
        <w:rPr>
          <w:rFonts w:hint="eastAsia" w:hAnsi="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eastAsia="zh-CN"/>
        </w:rPr>
        <w:t>。</w:t>
      </w:r>
    </w:p>
    <w:p w14:paraId="4813236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2DDF6CAB">
      <w:pPr>
        <w:pStyle w:val="25"/>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6AF9125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JSZC-320412-SYZB-G2025-0127</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909" w:name="_GoBack"/>
      <w:bookmarkEnd w:id="909"/>
    </w:p>
    <w:p w14:paraId="2F2959FB">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5"/>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结算方式：固定总价。</w:t>
      </w:r>
    </w:p>
    <w:p w14:paraId="2E1296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.付款方式：根据考核结果季度按实结算付款</w:t>
      </w:r>
      <w:r>
        <w:rPr>
          <w:rFonts w:hint="eastAsia" w:ascii="宋体" w:hAnsi="宋体" w:eastAsia="宋体" w:cs="宋体"/>
          <w:color w:val="auto"/>
          <w:sz w:val="24"/>
          <w:szCs w:val="24"/>
          <w:highlight w:val="none"/>
          <w:lang w:val="en-US" w:eastAsia="zh-CN"/>
        </w:rPr>
        <w:t>。</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464ED5DC">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5"/>
      <w:bookmarkEnd w:id="816"/>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2"/>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p>
    <w:p w14:paraId="3183CB9A">
      <w:pPr>
        <w:spacing w:line="360" w:lineRule="auto"/>
        <w:outlineLvl w:val="2"/>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w:t>
      </w:r>
      <w:r>
        <w:rPr>
          <w:rFonts w:hint="eastAsia"/>
          <w:color w:val="auto"/>
          <w:sz w:val="24"/>
          <w:highlight w:val="none"/>
        </w:rPr>
        <w:t>供应商填写所属的行业和指标数据可自动生成企业规模类型测试结果。（工信部网址：https://baosong.miit.gov.cn/ScaleTest）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租赁和商务服务业</w:t>
      </w:r>
      <w:r>
        <w:rPr>
          <w:rFonts w:hint="eastAsia" w:ascii="宋体" w:hAnsi="宋体" w:eastAsia="宋体" w:cs="宋体"/>
          <w:color w:val="auto"/>
          <w:sz w:val="24"/>
          <w:szCs w:val="24"/>
          <w:highlight w:val="none"/>
        </w:rPr>
        <w:t>等。</w:t>
      </w:r>
    </w:p>
    <w:p w14:paraId="091A06E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5"/>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2"/>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0E46F4F6">
      <w:pPr>
        <w:spacing w:line="360" w:lineRule="auto"/>
        <w:rPr>
          <w:rFonts w:hint="eastAsia" w:ascii="Times New Roman" w:hAnsi="Times New Roman" w:eastAsia="宋体" w:cs="Times New Roman"/>
          <w:color w:val="auto"/>
          <w:sz w:val="24"/>
          <w:highlight w:val="none"/>
        </w:rPr>
      </w:pPr>
      <w:r>
        <w:rPr>
          <w:rFonts w:ascii="Times New Roman" w:hAnsi="Times New Roman" w:eastAsia="宋体" w:cs="Times New Roman"/>
          <w:color w:val="auto"/>
          <w:spacing w:val="6"/>
          <w:sz w:val="24"/>
          <w:highlight w:val="none"/>
        </w:rPr>
        <w:br w:type="page"/>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rPr>
        <w:t xml:space="preserve"> 本项目的特定资格要求</w:t>
      </w:r>
    </w:p>
    <w:p w14:paraId="226C05EC">
      <w:pPr>
        <w:spacing w:line="360" w:lineRule="auto"/>
        <w:rPr>
          <w:rFonts w:hint="eastAsia" w:cs="Times New Roman"/>
          <w:color w:val="auto"/>
          <w:sz w:val="24"/>
          <w:highlight w:val="none"/>
          <w:lang w:val="en-US" w:eastAsia="zh-CN"/>
        </w:rPr>
      </w:pPr>
      <w:r>
        <w:rPr>
          <w:rFonts w:hint="eastAsia" w:cs="Times New Roman"/>
          <w:color w:val="auto"/>
          <w:sz w:val="24"/>
          <w:highlight w:val="none"/>
          <w:lang w:val="en-US" w:eastAsia="zh-CN"/>
        </w:rPr>
        <w:t>3.1投标人具有有效的公安部门审批颁发的有效的《保安服务许可证》</w:t>
      </w:r>
    </w:p>
    <w:p w14:paraId="77606766">
      <w:pPr>
        <w:spacing w:line="360" w:lineRule="auto"/>
        <w:rPr>
          <w:rFonts w:ascii="宋体" w:hAnsi="宋体"/>
          <w:b/>
          <w:color w:val="auto"/>
          <w:sz w:val="32"/>
          <w:szCs w:val="32"/>
          <w:highlight w:val="none"/>
        </w:rPr>
      </w:pPr>
      <w:r>
        <w:rPr>
          <w:rFonts w:hint="eastAsia" w:cs="Times New Roman"/>
          <w:color w:val="auto"/>
          <w:sz w:val="24"/>
          <w:highlight w:val="none"/>
          <w:lang w:val="en-US" w:eastAsia="zh-CN"/>
        </w:rPr>
        <w:br w:type="page"/>
      </w:r>
      <w:r>
        <w:rPr>
          <w:rFonts w:ascii="宋体" w:hAnsi="宋体"/>
          <w:b/>
          <w:color w:val="auto"/>
          <w:sz w:val="32"/>
          <w:szCs w:val="32"/>
          <w:highlight w:val="none"/>
        </w:rPr>
        <w:t>二、商务技术文件格式</w:t>
      </w:r>
      <w:bookmarkStart w:id="817" w:name="_Toc150774761"/>
      <w:bookmarkStart w:id="818" w:name="_Toc142311058"/>
      <w:bookmarkStart w:id="819" w:name="_Toc226309800"/>
      <w:bookmarkStart w:id="820" w:name="_Toc226965829"/>
      <w:bookmarkStart w:id="821" w:name="_Toc150480794"/>
      <w:bookmarkStart w:id="822" w:name="_Toc195842921"/>
      <w:bookmarkStart w:id="823" w:name="_Toc226965746"/>
      <w:bookmarkStart w:id="824" w:name="_Toc127151556"/>
      <w:bookmarkStart w:id="825" w:name="_Toc226337252"/>
      <w:bookmarkStart w:id="826" w:name="_Ref467988698"/>
      <w:bookmarkStart w:id="827" w:name="_Toc520356217"/>
      <w:bookmarkStart w:id="828" w:name="_Toc480942349"/>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29" w:name="_Hlt520356243"/>
      <w:bookmarkEnd w:id="829"/>
      <w:bookmarkStart w:id="830" w:name="_Hlt520355938"/>
      <w:bookmarkEnd w:id="830"/>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（投标供应商名称）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20"/>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投标供应商：（加盖公章）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7"/>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1" w:name="_Hlt520274121"/>
      <w:bookmarkEnd w:id="831"/>
      <w:bookmarkStart w:id="832" w:name="_Hlt520274065"/>
      <w:bookmarkEnd w:id="832"/>
      <w:bookmarkStart w:id="833" w:name="_Hlt520274393"/>
      <w:bookmarkEnd w:id="833"/>
      <w:bookmarkStart w:id="834" w:name="_Hlt520343000"/>
      <w:bookmarkEnd w:id="834"/>
      <w:bookmarkStart w:id="835" w:name="_Hlt520274407"/>
      <w:bookmarkEnd w:id="835"/>
      <w:bookmarkStart w:id="836" w:name="_Hlt520350918"/>
      <w:bookmarkEnd w:id="836"/>
      <w:bookmarkStart w:id="837" w:name="_Hlt520355504"/>
      <w:bookmarkEnd w:id="837"/>
      <w:bookmarkStart w:id="838" w:name="_Hlt520273711"/>
      <w:bookmarkEnd w:id="838"/>
      <w:bookmarkStart w:id="839" w:name="_Hlt520271212"/>
      <w:bookmarkEnd w:id="839"/>
      <w:bookmarkStart w:id="840" w:name="_Hlt520343392"/>
      <w:bookmarkEnd w:id="840"/>
      <w:bookmarkStart w:id="841" w:name="_Ref467988705"/>
      <w:bookmarkStart w:id="842" w:name="_Toc195842922"/>
      <w:bookmarkStart w:id="843" w:name="_Toc226965747"/>
      <w:bookmarkStart w:id="844" w:name="_Toc264969247"/>
      <w:bookmarkStart w:id="845" w:name="_Toc150480795"/>
      <w:bookmarkStart w:id="846" w:name="_Toc226965830"/>
      <w:bookmarkStart w:id="847" w:name="_Toc305158825"/>
      <w:bookmarkStart w:id="848" w:name="_Toc305158899"/>
      <w:bookmarkStart w:id="849" w:name="_Toc142311059"/>
      <w:bookmarkStart w:id="850" w:name="_Toc480942350"/>
      <w:bookmarkStart w:id="851" w:name="_Toc150774762"/>
      <w:bookmarkStart w:id="852" w:name="_Toc226337253"/>
      <w:bookmarkStart w:id="853" w:name="_Toc520356218"/>
      <w:bookmarkStart w:id="854" w:name="_Toc127151557"/>
      <w:bookmarkStart w:id="855" w:name="_Toc265228395"/>
      <w:bookmarkStart w:id="856" w:name="_Toc226309801"/>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0C59F181">
      <w:pPr>
        <w:spacing w:line="360" w:lineRule="exact"/>
        <w:jc w:val="center"/>
        <w:rPr>
          <w:b/>
          <w:color w:val="auto"/>
          <w:sz w:val="36"/>
          <w:szCs w:val="36"/>
          <w:highlight w:val="none"/>
        </w:rPr>
      </w:pPr>
      <w:bookmarkStart w:id="857" w:name="_Toc164608827"/>
      <w:bookmarkStart w:id="858" w:name="_Toc226965831"/>
      <w:bookmarkStart w:id="859" w:name="_Toc264969248"/>
      <w:bookmarkStart w:id="860" w:name="_Toc226965748"/>
      <w:bookmarkStart w:id="861" w:name="_Toc305158826"/>
      <w:bookmarkStart w:id="862" w:name="_Toc164608672"/>
      <w:bookmarkStart w:id="863" w:name="_Toc305158900"/>
      <w:bookmarkStart w:id="864" w:name="_Toc195842923"/>
      <w:bookmarkStart w:id="865" w:name="_Toc226337254"/>
      <w:bookmarkStart w:id="866" w:name="_Toc226309802"/>
      <w:bookmarkStart w:id="867" w:name="_Toc265228396"/>
      <w:r>
        <w:rPr>
          <w:rFonts w:hint="eastAsia"/>
          <w:b/>
          <w:color w:val="auto"/>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56C46149">
      <w:pPr>
        <w:autoSpaceDE w:val="0"/>
        <w:autoSpaceDN w:val="0"/>
        <w:adjustRightInd w:val="0"/>
        <w:snapToGrid w:val="0"/>
        <w:spacing w:before="25" w:after="25" w:line="360" w:lineRule="auto"/>
        <w:rPr>
          <w:rFonts w:hint="eastAsia"/>
          <w:color w:val="auto"/>
          <w:sz w:val="24"/>
          <w:highlight w:val="none"/>
          <w:lang w:val="zh-CN"/>
        </w:rPr>
      </w:pPr>
      <w:r>
        <w:rPr>
          <w:rFonts w:hint="eastAsia"/>
          <w:color w:val="auto"/>
          <w:sz w:val="24"/>
          <w:highlight w:val="none"/>
          <w:lang w:val="zh-CN"/>
        </w:rPr>
        <w:t>注:1.此表中的投标报价按每年报价，应和《投标分项报价表》中的总价相一致。</w:t>
      </w: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2.电子系统内开标一览表报价与投标文件中开标一览表报价不一致时，以电子系统内开标一览表报价为准。</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w:t>
      </w: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6397A2B">
      <w:pPr>
        <w:spacing w:line="360" w:lineRule="auto"/>
        <w:outlineLvl w:val="2"/>
        <w:rPr>
          <w:color w:val="auto"/>
          <w:sz w:val="24"/>
          <w:szCs w:val="20"/>
          <w:highlight w:val="none"/>
        </w:rPr>
      </w:pPr>
      <w:bookmarkStart w:id="868" w:name="_Toc150774763"/>
      <w:bookmarkStart w:id="869" w:name="_Toc195842924"/>
      <w:bookmarkStart w:id="870" w:name="_Toc150480796"/>
      <w:bookmarkStart w:id="871" w:name="_Toc226965749"/>
      <w:bookmarkStart w:id="872" w:name="_Toc127151558"/>
      <w:bookmarkStart w:id="873" w:name="_Toc142311060"/>
      <w:bookmarkStart w:id="874" w:name="_Toc264969249"/>
      <w:bookmarkStart w:id="875" w:name="_Toc305158827"/>
      <w:bookmarkStart w:id="876" w:name="_Toc265228397"/>
      <w:bookmarkStart w:id="877" w:name="_Toc226965832"/>
      <w:bookmarkStart w:id="878" w:name="_Toc305158901"/>
      <w:bookmarkStart w:id="879" w:name="_Toc226309803"/>
      <w:bookmarkStart w:id="880" w:name="_Toc226337255"/>
      <w:r>
        <w:rPr>
          <w:color w:val="auto"/>
          <w:sz w:val="24"/>
          <w:szCs w:val="20"/>
          <w:highlight w:val="none"/>
        </w:rPr>
        <w:br w:type="page"/>
      </w:r>
      <w:r>
        <w:rPr>
          <w:rFonts w:hint="eastAsia"/>
          <w:color w:val="auto"/>
          <w:sz w:val="24"/>
          <w:szCs w:val="20"/>
          <w:highlight w:val="none"/>
        </w:rPr>
        <w:t>5</w:t>
      </w:r>
      <w:r>
        <w:rPr>
          <w:color w:val="auto"/>
          <w:sz w:val="24"/>
          <w:szCs w:val="20"/>
          <w:highlight w:val="none"/>
        </w:rPr>
        <w:t xml:space="preserve">  投标分项报价表（实质性格式）</w:t>
      </w:r>
    </w:p>
    <w:p w14:paraId="08E90F52">
      <w:pPr>
        <w:spacing w:line="360" w:lineRule="exact"/>
        <w:jc w:val="center"/>
        <w:rPr>
          <w:color w:val="auto"/>
          <w:sz w:val="36"/>
          <w:szCs w:val="36"/>
          <w:highlight w:val="none"/>
        </w:rPr>
      </w:pPr>
    </w:p>
    <w:p w14:paraId="5100AF56">
      <w:pPr>
        <w:spacing w:line="360" w:lineRule="exact"/>
        <w:jc w:val="center"/>
        <w:outlineLvl w:val="9"/>
        <w:rPr>
          <w:color w:val="auto"/>
          <w:sz w:val="36"/>
          <w:szCs w:val="36"/>
          <w:highlight w:val="none"/>
        </w:rPr>
      </w:pPr>
    </w:p>
    <w:p w14:paraId="3D00EEC1">
      <w:pPr>
        <w:jc w:val="center"/>
        <w:outlineLvl w:val="9"/>
        <w:rPr>
          <w:b/>
          <w:color w:val="auto"/>
          <w:sz w:val="36"/>
          <w:szCs w:val="36"/>
          <w:highlight w:val="none"/>
        </w:rPr>
      </w:pPr>
      <w:r>
        <w:rPr>
          <w:rFonts w:hint="eastAsia"/>
          <w:b/>
          <w:color w:val="auto"/>
          <w:sz w:val="36"/>
          <w:szCs w:val="36"/>
          <w:highlight w:val="none"/>
        </w:rPr>
        <w:t>分项报价表</w:t>
      </w:r>
    </w:p>
    <w:p w14:paraId="52448EB5">
      <w:pPr>
        <w:spacing w:line="260" w:lineRule="exact"/>
        <w:jc w:val="center"/>
        <w:outlineLvl w:val="9"/>
        <w:rPr>
          <w:color w:val="auto"/>
          <w:sz w:val="36"/>
          <w:szCs w:val="36"/>
          <w:highlight w:val="none"/>
        </w:rPr>
      </w:pPr>
    </w:p>
    <w:p w14:paraId="473AF9AA">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62A9F5BA">
      <w:pPr>
        <w:tabs>
          <w:tab w:val="left" w:pos="1800"/>
          <w:tab w:val="left" w:pos="5580"/>
        </w:tabs>
        <w:jc w:val="left"/>
        <w:outlineLvl w:val="9"/>
        <w:rPr>
          <w:rFonts w:hint="eastAsia"/>
          <w:color w:val="auto"/>
          <w:sz w:val="24"/>
          <w:highlight w:val="none"/>
        </w:rPr>
      </w:pPr>
    </w:p>
    <w:tbl>
      <w:tblPr>
        <w:tblStyle w:val="46"/>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01DC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5AB6BF">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noWrap w:val="0"/>
            <w:vAlign w:val="center"/>
          </w:tcPr>
          <w:p w14:paraId="0AD103D9">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noWrap w:val="0"/>
            <w:vAlign w:val="center"/>
          </w:tcPr>
          <w:p w14:paraId="69EF212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noWrap w:val="0"/>
            <w:vAlign w:val="center"/>
          </w:tcPr>
          <w:p w14:paraId="37EA2D0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noWrap w:val="0"/>
            <w:vAlign w:val="center"/>
          </w:tcPr>
          <w:p w14:paraId="6F6BE1CE">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6CE08715">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lang w:val="en-US" w:eastAsia="zh-CN"/>
              </w:rPr>
              <w:t>投标</w:t>
            </w:r>
            <w:r>
              <w:rPr>
                <w:rFonts w:hint="eastAsia" w:ascii="宋体" w:hAnsi="宋体" w:cs="Arial"/>
                <w:color w:val="auto"/>
                <w:sz w:val="24"/>
                <w:highlight w:val="none"/>
              </w:rPr>
              <w:t>价格</w:t>
            </w:r>
          </w:p>
        </w:tc>
      </w:tr>
      <w:tr w14:paraId="205E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47772FF8">
            <w:pPr>
              <w:widowControl/>
              <w:jc w:val="left"/>
              <w:rPr>
                <w:rFonts w:ascii="宋体" w:hAnsi="宋体" w:cs="Arial"/>
                <w:color w:val="auto"/>
                <w:sz w:val="24"/>
                <w:highlight w:val="none"/>
              </w:rPr>
            </w:pPr>
          </w:p>
        </w:tc>
        <w:tc>
          <w:tcPr>
            <w:tcW w:w="1423" w:type="dxa"/>
            <w:vMerge w:val="continue"/>
            <w:noWrap w:val="0"/>
            <w:vAlign w:val="center"/>
          </w:tcPr>
          <w:p w14:paraId="2A3279E2">
            <w:pPr>
              <w:widowControl/>
              <w:jc w:val="left"/>
              <w:rPr>
                <w:rFonts w:ascii="宋体" w:hAnsi="宋体" w:cs="Arial"/>
                <w:color w:val="auto"/>
                <w:sz w:val="24"/>
                <w:highlight w:val="none"/>
              </w:rPr>
            </w:pPr>
          </w:p>
        </w:tc>
        <w:tc>
          <w:tcPr>
            <w:tcW w:w="2533" w:type="dxa"/>
            <w:vMerge w:val="continue"/>
            <w:noWrap w:val="0"/>
            <w:vAlign w:val="center"/>
          </w:tcPr>
          <w:p w14:paraId="6585EFB0">
            <w:pPr>
              <w:widowControl/>
              <w:jc w:val="left"/>
              <w:rPr>
                <w:rFonts w:ascii="宋体" w:hAnsi="宋体" w:cs="Arial"/>
                <w:color w:val="auto"/>
                <w:sz w:val="24"/>
                <w:highlight w:val="none"/>
              </w:rPr>
            </w:pPr>
          </w:p>
        </w:tc>
        <w:tc>
          <w:tcPr>
            <w:tcW w:w="1042" w:type="dxa"/>
            <w:vMerge w:val="continue"/>
            <w:noWrap w:val="0"/>
            <w:vAlign w:val="center"/>
          </w:tcPr>
          <w:p w14:paraId="74254AAA">
            <w:pPr>
              <w:widowControl/>
              <w:jc w:val="left"/>
              <w:rPr>
                <w:rFonts w:ascii="宋体" w:hAnsi="宋体" w:cs="Arial"/>
                <w:color w:val="auto"/>
                <w:sz w:val="24"/>
                <w:highlight w:val="none"/>
              </w:rPr>
            </w:pPr>
          </w:p>
        </w:tc>
        <w:tc>
          <w:tcPr>
            <w:tcW w:w="992" w:type="dxa"/>
            <w:vMerge w:val="continue"/>
            <w:noWrap w:val="0"/>
            <w:vAlign w:val="center"/>
          </w:tcPr>
          <w:p w14:paraId="16BDCBAA">
            <w:pPr>
              <w:widowControl/>
              <w:jc w:val="left"/>
              <w:rPr>
                <w:rFonts w:ascii="宋体" w:hAnsi="宋体" w:cs="Arial"/>
                <w:color w:val="auto"/>
                <w:sz w:val="24"/>
                <w:highlight w:val="none"/>
              </w:rPr>
            </w:pPr>
          </w:p>
        </w:tc>
        <w:tc>
          <w:tcPr>
            <w:tcW w:w="919" w:type="dxa"/>
            <w:noWrap w:val="0"/>
            <w:vAlign w:val="center"/>
          </w:tcPr>
          <w:p w14:paraId="62F45806">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197700FA">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合价</w:t>
            </w:r>
          </w:p>
        </w:tc>
      </w:tr>
      <w:tr w14:paraId="68177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43A1616">
            <w:pPr>
              <w:widowControl/>
              <w:spacing w:line="360" w:lineRule="auto"/>
              <w:jc w:val="center"/>
              <w:rPr>
                <w:rFonts w:ascii="宋体" w:hAnsi="宋体" w:cs="Arial"/>
                <w:color w:val="auto"/>
                <w:sz w:val="24"/>
                <w:highlight w:val="none"/>
              </w:rPr>
            </w:pPr>
          </w:p>
        </w:tc>
        <w:tc>
          <w:tcPr>
            <w:tcW w:w="1423" w:type="dxa"/>
            <w:noWrap w:val="0"/>
            <w:vAlign w:val="center"/>
          </w:tcPr>
          <w:p w14:paraId="320777AA">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3E7366B0">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0AEED1D9">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6718A86A">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5CF598CC">
            <w:pPr>
              <w:widowControl/>
              <w:spacing w:line="360" w:lineRule="auto"/>
              <w:jc w:val="center"/>
              <w:rPr>
                <w:rFonts w:ascii="宋体" w:hAnsi="宋体" w:cs="Arial"/>
                <w:color w:val="auto"/>
                <w:sz w:val="24"/>
                <w:highlight w:val="none"/>
              </w:rPr>
            </w:pPr>
          </w:p>
        </w:tc>
        <w:tc>
          <w:tcPr>
            <w:tcW w:w="1072" w:type="dxa"/>
            <w:noWrap w:val="0"/>
            <w:vAlign w:val="center"/>
          </w:tcPr>
          <w:p w14:paraId="4C340B66">
            <w:pPr>
              <w:widowControl/>
              <w:spacing w:line="360" w:lineRule="auto"/>
              <w:jc w:val="center"/>
              <w:rPr>
                <w:rFonts w:ascii="宋体" w:hAnsi="宋体" w:cs="Arial"/>
                <w:color w:val="auto"/>
                <w:sz w:val="24"/>
                <w:highlight w:val="none"/>
              </w:rPr>
            </w:pPr>
          </w:p>
        </w:tc>
      </w:tr>
      <w:tr w14:paraId="20734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3527352">
            <w:pPr>
              <w:widowControl/>
              <w:spacing w:line="360" w:lineRule="auto"/>
              <w:jc w:val="center"/>
              <w:rPr>
                <w:rFonts w:ascii="宋体" w:hAnsi="宋体" w:cs="Arial"/>
                <w:color w:val="auto"/>
                <w:sz w:val="24"/>
                <w:highlight w:val="none"/>
              </w:rPr>
            </w:pPr>
          </w:p>
        </w:tc>
        <w:tc>
          <w:tcPr>
            <w:tcW w:w="1423" w:type="dxa"/>
            <w:noWrap w:val="0"/>
            <w:vAlign w:val="center"/>
          </w:tcPr>
          <w:p w14:paraId="494B7408">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0497301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4103E4C3">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34FDD51B">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08FE0C2D">
            <w:pPr>
              <w:widowControl/>
              <w:spacing w:line="360" w:lineRule="auto"/>
              <w:jc w:val="center"/>
              <w:rPr>
                <w:rFonts w:ascii="宋体" w:hAnsi="宋体" w:cs="Arial"/>
                <w:color w:val="auto"/>
                <w:sz w:val="24"/>
                <w:highlight w:val="none"/>
              </w:rPr>
            </w:pPr>
          </w:p>
        </w:tc>
        <w:tc>
          <w:tcPr>
            <w:tcW w:w="1072" w:type="dxa"/>
            <w:noWrap w:val="0"/>
            <w:vAlign w:val="center"/>
          </w:tcPr>
          <w:p w14:paraId="70F157D2">
            <w:pPr>
              <w:widowControl/>
              <w:spacing w:line="360" w:lineRule="auto"/>
              <w:jc w:val="center"/>
              <w:rPr>
                <w:rFonts w:ascii="宋体" w:hAnsi="宋体" w:cs="Arial"/>
                <w:color w:val="auto"/>
                <w:sz w:val="24"/>
                <w:highlight w:val="none"/>
              </w:rPr>
            </w:pPr>
          </w:p>
        </w:tc>
      </w:tr>
      <w:tr w14:paraId="06969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09FB17A">
            <w:pPr>
              <w:widowControl/>
              <w:spacing w:line="360" w:lineRule="auto"/>
              <w:jc w:val="center"/>
              <w:rPr>
                <w:rFonts w:ascii="宋体" w:hAnsi="宋体" w:cs="Arial"/>
                <w:color w:val="auto"/>
                <w:sz w:val="24"/>
                <w:highlight w:val="none"/>
              </w:rPr>
            </w:pPr>
          </w:p>
        </w:tc>
        <w:tc>
          <w:tcPr>
            <w:tcW w:w="1423" w:type="dxa"/>
            <w:noWrap w:val="0"/>
            <w:vAlign w:val="center"/>
          </w:tcPr>
          <w:p w14:paraId="6F1ADE5E">
            <w:pPr>
              <w:widowControl/>
              <w:spacing w:line="360" w:lineRule="auto"/>
              <w:jc w:val="center"/>
              <w:rPr>
                <w:rFonts w:hint="eastAsia" w:ascii="宋体" w:hAnsi="宋体" w:eastAsia="宋体" w:cs="Arial"/>
                <w:color w:val="auto"/>
                <w:sz w:val="24"/>
                <w:highlight w:val="none"/>
                <w:lang w:eastAsia="zh-CN"/>
              </w:rPr>
            </w:pPr>
          </w:p>
        </w:tc>
        <w:tc>
          <w:tcPr>
            <w:tcW w:w="2533" w:type="dxa"/>
            <w:noWrap w:val="0"/>
            <w:vAlign w:val="center"/>
          </w:tcPr>
          <w:p w14:paraId="657EE0EA">
            <w:pPr>
              <w:widowControl/>
              <w:spacing w:line="360" w:lineRule="auto"/>
              <w:jc w:val="center"/>
              <w:rPr>
                <w:rFonts w:hint="eastAsia" w:ascii="宋体" w:hAnsi="宋体" w:eastAsia="宋体" w:cs="Arial"/>
                <w:color w:val="auto"/>
                <w:sz w:val="24"/>
                <w:highlight w:val="none"/>
              </w:rPr>
            </w:pPr>
          </w:p>
        </w:tc>
        <w:tc>
          <w:tcPr>
            <w:tcW w:w="1042" w:type="dxa"/>
            <w:noWrap w:val="0"/>
            <w:vAlign w:val="center"/>
          </w:tcPr>
          <w:p w14:paraId="25FF7C2F">
            <w:pPr>
              <w:widowControl/>
              <w:spacing w:line="360" w:lineRule="auto"/>
              <w:jc w:val="center"/>
              <w:rPr>
                <w:rFonts w:ascii="宋体" w:hAnsi="宋体" w:eastAsia="宋体" w:cs="Arial"/>
                <w:color w:val="auto"/>
                <w:sz w:val="24"/>
                <w:highlight w:val="none"/>
                <w:lang w:val="en-US" w:eastAsia="zh-CN"/>
              </w:rPr>
            </w:pPr>
          </w:p>
        </w:tc>
        <w:tc>
          <w:tcPr>
            <w:tcW w:w="992" w:type="dxa"/>
            <w:noWrap w:val="0"/>
            <w:vAlign w:val="center"/>
          </w:tcPr>
          <w:p w14:paraId="2CAAEAE2">
            <w:pPr>
              <w:widowControl/>
              <w:spacing w:line="360" w:lineRule="auto"/>
              <w:jc w:val="center"/>
              <w:rPr>
                <w:rFonts w:hint="eastAsia" w:ascii="宋体" w:hAnsi="宋体" w:eastAsia="宋体" w:cs="Arial"/>
                <w:color w:val="auto"/>
                <w:sz w:val="24"/>
                <w:highlight w:val="none"/>
                <w:lang w:val="en-US" w:eastAsia="zh-CN"/>
              </w:rPr>
            </w:pPr>
          </w:p>
        </w:tc>
        <w:tc>
          <w:tcPr>
            <w:tcW w:w="919" w:type="dxa"/>
            <w:noWrap w:val="0"/>
            <w:vAlign w:val="center"/>
          </w:tcPr>
          <w:p w14:paraId="3B51D401">
            <w:pPr>
              <w:widowControl/>
              <w:spacing w:line="360" w:lineRule="auto"/>
              <w:jc w:val="center"/>
              <w:rPr>
                <w:rFonts w:ascii="宋体" w:hAnsi="宋体" w:cs="Arial"/>
                <w:color w:val="auto"/>
                <w:sz w:val="24"/>
                <w:highlight w:val="none"/>
              </w:rPr>
            </w:pPr>
          </w:p>
        </w:tc>
        <w:tc>
          <w:tcPr>
            <w:tcW w:w="1072" w:type="dxa"/>
            <w:noWrap w:val="0"/>
            <w:vAlign w:val="center"/>
          </w:tcPr>
          <w:p w14:paraId="74C0BA9E">
            <w:pPr>
              <w:widowControl/>
              <w:spacing w:line="360" w:lineRule="auto"/>
              <w:jc w:val="center"/>
              <w:rPr>
                <w:rFonts w:ascii="宋体" w:hAnsi="宋体" w:cs="Arial"/>
                <w:color w:val="auto"/>
                <w:sz w:val="24"/>
                <w:highlight w:val="none"/>
              </w:rPr>
            </w:pPr>
          </w:p>
        </w:tc>
      </w:tr>
      <w:tr w14:paraId="2E4CA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5846C187">
            <w:pPr>
              <w:widowControl/>
              <w:spacing w:line="360" w:lineRule="auto"/>
              <w:jc w:val="center"/>
              <w:rPr>
                <w:rFonts w:hint="eastAsia" w:ascii="宋体" w:hAnsi="宋体" w:eastAsia="宋体" w:cs="Arial"/>
                <w:color w:val="auto"/>
                <w:sz w:val="24"/>
                <w:highlight w:val="none"/>
                <w:lang w:eastAsia="zh-CN"/>
              </w:rPr>
            </w:pPr>
            <w:r>
              <w:rPr>
                <w:rFonts w:hint="eastAsia" w:ascii="宋体" w:hAnsi="宋体" w:cs="Arial"/>
                <w:color w:val="auto"/>
                <w:sz w:val="24"/>
                <w:highlight w:val="none"/>
              </w:rPr>
              <w:t>总价</w:t>
            </w:r>
            <w:r>
              <w:rPr>
                <w:rFonts w:hint="eastAsia" w:ascii="宋体" w:hAnsi="宋体" w:cs="Arial"/>
                <w:color w:val="auto"/>
                <w:sz w:val="24"/>
                <w:highlight w:val="none"/>
                <w:lang w:eastAsia="zh-CN"/>
              </w:rPr>
              <w:t>（</w:t>
            </w:r>
            <w:r>
              <w:rPr>
                <w:rFonts w:hint="eastAsia" w:ascii="宋体" w:hAnsi="宋体" w:cs="Arial"/>
                <w:color w:val="auto"/>
                <w:sz w:val="24"/>
                <w:highlight w:val="none"/>
                <w:lang w:val="en-US" w:eastAsia="zh-CN"/>
              </w:rPr>
              <w:t>元/年</w:t>
            </w:r>
            <w:r>
              <w:rPr>
                <w:rFonts w:hint="eastAsia" w:ascii="宋体" w:hAnsi="宋体" w:cs="Arial"/>
                <w:color w:val="auto"/>
                <w:sz w:val="24"/>
                <w:highlight w:val="none"/>
                <w:lang w:eastAsia="zh-CN"/>
              </w:rPr>
              <w:t>）</w:t>
            </w:r>
          </w:p>
        </w:tc>
        <w:tc>
          <w:tcPr>
            <w:tcW w:w="4025" w:type="dxa"/>
            <w:gridSpan w:val="4"/>
            <w:noWrap w:val="0"/>
            <w:vAlign w:val="center"/>
          </w:tcPr>
          <w:p w14:paraId="4DFB0A5C">
            <w:pPr>
              <w:widowControl/>
              <w:spacing w:line="360" w:lineRule="auto"/>
              <w:jc w:val="center"/>
              <w:rPr>
                <w:rFonts w:ascii="宋体" w:hAnsi="宋体" w:cs="Arial"/>
                <w:color w:val="auto"/>
                <w:sz w:val="24"/>
                <w:highlight w:val="none"/>
              </w:rPr>
            </w:pPr>
          </w:p>
        </w:tc>
      </w:tr>
    </w:tbl>
    <w:p w14:paraId="6F5B9F10">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.如果不提供分项报价将视为没有实质性响应文件</w:t>
      </w:r>
    </w:p>
    <w:p w14:paraId="32DD894B">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.本表行数可以按照项目分项情况增加。</w:t>
      </w:r>
    </w:p>
    <w:p w14:paraId="3D9F1C39">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.上述各项的服务内容如表格中填写不下的，可以逐项另页描述。</w:t>
      </w:r>
    </w:p>
    <w:p w14:paraId="113F13CC">
      <w:pPr>
        <w:spacing w:before="25" w:after="25" w:line="360" w:lineRule="auto"/>
        <w:outlineLvl w:val="9"/>
        <w:rPr>
          <w:color w:val="auto"/>
          <w:sz w:val="24"/>
          <w:highlight w:val="none"/>
          <w:lang w:val="zh-CN"/>
        </w:rPr>
      </w:pPr>
    </w:p>
    <w:p w14:paraId="4A65FF9D">
      <w:pPr>
        <w:spacing w:before="25" w:after="25" w:line="360" w:lineRule="auto"/>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E098D00">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4711732F">
      <w:pPr>
        <w:spacing w:line="360" w:lineRule="exact"/>
        <w:jc w:val="center"/>
        <w:rPr>
          <w:color w:val="auto"/>
          <w:sz w:val="36"/>
          <w:szCs w:val="36"/>
          <w:highlight w:val="none"/>
        </w:rPr>
      </w:pPr>
      <w:r>
        <w:rPr>
          <w:color w:val="auto"/>
          <w:sz w:val="24"/>
          <w:szCs w:val="20"/>
          <w:highlight w:val="none"/>
        </w:rPr>
        <w:br w:type="page"/>
      </w:r>
    </w:p>
    <w:bookmarkEnd w:id="868"/>
    <w:bookmarkEnd w:id="869"/>
    <w:bookmarkEnd w:id="870"/>
    <w:bookmarkEnd w:id="871"/>
    <w:bookmarkEnd w:id="872"/>
    <w:bookmarkEnd w:id="873"/>
    <w:bookmarkEnd w:id="874"/>
    <w:bookmarkEnd w:id="875"/>
    <w:bookmarkEnd w:id="876"/>
    <w:bookmarkEnd w:id="877"/>
    <w:bookmarkEnd w:id="878"/>
    <w:bookmarkEnd w:id="879"/>
    <w:bookmarkEnd w:id="880"/>
    <w:p w14:paraId="7B61BB0B">
      <w:pPr>
        <w:autoSpaceDE w:val="0"/>
        <w:autoSpaceDN w:val="0"/>
        <w:adjustRightInd w:val="0"/>
        <w:snapToGrid w:val="0"/>
        <w:spacing w:before="25" w:after="25" w:line="360" w:lineRule="auto"/>
        <w:rPr>
          <w:color w:val="auto"/>
          <w:sz w:val="24"/>
          <w:szCs w:val="20"/>
          <w:highlight w:val="none"/>
        </w:rPr>
      </w:pPr>
      <w:bookmarkStart w:id="881" w:name="_Toc195842927"/>
      <w:bookmarkStart w:id="882" w:name="_Toc127151562"/>
      <w:bookmarkStart w:id="883" w:name="_Toc150774765"/>
      <w:bookmarkStart w:id="884" w:name="_Toc305158904"/>
      <w:bookmarkStart w:id="885" w:name="_Toc226309806"/>
      <w:bookmarkStart w:id="886" w:name="_Toc226965835"/>
      <w:bookmarkStart w:id="887" w:name="_Toc226337258"/>
      <w:bookmarkStart w:id="888" w:name="_Toc264969252"/>
      <w:bookmarkStart w:id="889" w:name="_Toc305158830"/>
      <w:bookmarkStart w:id="890" w:name="_Toc226965752"/>
      <w:bookmarkStart w:id="891" w:name="_Toc150480798"/>
      <w:bookmarkStart w:id="892" w:name="_Toc265228400"/>
      <w:bookmarkStart w:id="893" w:name="_Toc142311062"/>
      <w:bookmarkStart w:id="894" w:name="_Toc226965834"/>
      <w:bookmarkStart w:id="895" w:name="_Toc127151561"/>
      <w:bookmarkStart w:id="896" w:name="_Toc305158903"/>
      <w:bookmarkStart w:id="897" w:name="_Toc265228399"/>
      <w:bookmarkStart w:id="898" w:name="_Toc226309805"/>
      <w:bookmarkStart w:id="899" w:name="_Toc264969251"/>
      <w:bookmarkStart w:id="900" w:name="_Toc226337257"/>
      <w:bookmarkStart w:id="901" w:name="_Toc195842926"/>
      <w:bookmarkStart w:id="902" w:name="_Toc150480797"/>
      <w:bookmarkStart w:id="903" w:name="_Toc142311061"/>
      <w:bookmarkStart w:id="904" w:name="_Toc226965751"/>
      <w:bookmarkStart w:id="905" w:name="_Toc150774764"/>
      <w:bookmarkStart w:id="906" w:name="_Toc305158829"/>
      <w:r>
        <w:rPr>
          <w:rFonts w:hint="eastAsia"/>
          <w:color w:val="auto"/>
          <w:sz w:val="24"/>
          <w:szCs w:val="20"/>
          <w:highlight w:val="none"/>
          <w:lang w:val="en-US" w:eastAsia="zh-CN"/>
        </w:rPr>
        <w:t>6</w:t>
      </w:r>
      <w:r>
        <w:rPr>
          <w:color w:val="auto"/>
          <w:sz w:val="24"/>
          <w:szCs w:val="20"/>
          <w:highlight w:val="none"/>
        </w:rPr>
        <w:t xml:space="preserve">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rPr>
        <w:t>投标</w:t>
      </w:r>
      <w:r>
        <w:rPr>
          <w:rFonts w:hint="eastAsia"/>
          <w:color w:val="auto"/>
          <w:sz w:val="24"/>
          <w:highlight w:val="none"/>
          <w:lang w:val="en-US" w:eastAsia="zh-CN"/>
        </w:rPr>
        <w:t>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投标</w:t>
      </w:r>
      <w:r>
        <w:rPr>
          <w:color w:val="auto"/>
          <w:sz w:val="24"/>
          <w:highlight w:val="none"/>
        </w:rPr>
        <w:t>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0427ED8C">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）总体服务方案</w:t>
      </w:r>
    </w:p>
    <w:p w14:paraId="185AB404">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）人员组织架构</w:t>
      </w:r>
    </w:p>
    <w:p w14:paraId="2E29D719">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）秩序维护服务方案</w:t>
      </w:r>
    </w:p>
    <w:p w14:paraId="56CFDBDF">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）装备配置方案</w:t>
      </w:r>
    </w:p>
    <w:p w14:paraId="55655686">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）应急事件处理预案</w:t>
      </w:r>
    </w:p>
    <w:p w14:paraId="3BDAEE0B">
      <w:pPr>
        <w:spacing w:line="560" w:lineRule="exact"/>
        <w:ind w:firstLine="480"/>
        <w:rPr>
          <w:rFonts w:hint="eastAsia"/>
          <w:color w:val="auto"/>
          <w:sz w:val="24"/>
          <w:szCs w:val="20"/>
          <w:highlight w:val="none"/>
        </w:rPr>
      </w:pPr>
    </w:p>
    <w:p w14:paraId="005046E6">
      <w:pPr>
        <w:snapToGrid w:val="0"/>
        <w:spacing w:line="560" w:lineRule="exact"/>
        <w:ind w:firstLine="480" w:firstLineChars="200"/>
        <w:outlineLvl w:val="9"/>
        <w:rPr>
          <w:rFonts w:hint="eastAsia"/>
          <w:color w:val="auto"/>
          <w:sz w:val="24"/>
          <w:szCs w:val="20"/>
          <w:highlight w:val="none"/>
          <w:lang w:eastAsia="zh-CN"/>
        </w:rPr>
      </w:pPr>
    </w:p>
    <w:p w14:paraId="148A5835">
      <w:pPr>
        <w:rPr>
          <w:rFonts w:hint="eastAsia"/>
          <w:color w:val="auto"/>
          <w:sz w:val="24"/>
          <w:szCs w:val="20"/>
          <w:highlight w:val="none"/>
          <w:lang w:val="en-US" w:eastAsia="zh-CN"/>
        </w:rPr>
        <w:sectPr>
          <w:pgSz w:w="11907" w:h="16840"/>
          <w:pgMar w:top="1418" w:right="1134" w:bottom="1418" w:left="1701" w:header="851" w:footer="851" w:gutter="0"/>
          <w:pgNumType w:fmt="decimal"/>
          <w:cols w:space="720" w:num="1"/>
          <w:docGrid w:linePitch="462" w:charSpace="0"/>
        </w:sectPr>
      </w:pPr>
      <w:r>
        <w:rPr>
          <w:rFonts w:hint="eastAsia"/>
          <w:color w:val="auto"/>
          <w:sz w:val="24"/>
          <w:szCs w:val="20"/>
          <w:highlight w:val="none"/>
          <w:lang w:val="en-US" w:eastAsia="zh-CN"/>
        </w:rPr>
        <w:t xml:space="preserve"> </w:t>
      </w:r>
    </w:p>
    <w:p w14:paraId="4E892211">
      <w:pPr>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7" w:name="_Toc288738839"/>
      <w:bookmarkStart w:id="908" w:name="_Toc288738397"/>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7"/>
      <w:bookmarkEnd w:id="908"/>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30"/>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CBAA3E">
                    <w:pPr>
                      <w:pStyle w:val="3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AE8772">
                    <w:pPr>
                      <w:pStyle w:val="3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B4D596">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30"/>
      <w:rPr>
        <w:rStyle w:val="51"/>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A1F35BE">
                    <w:pPr>
                      <w:pStyle w:val="3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898B6B8">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4D21">
    <w:pPr>
      <w:pStyle w:val="3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A9A2A4">
                    <w:pPr>
                      <w:pStyle w:val="30"/>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7403B26B">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3888">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67036C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3BCBD841">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3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743B54">
                    <w:pPr>
                      <w:pStyle w:val="30"/>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56</w:t>
                    </w:r>
                    <w:r>
                      <w:fldChar w:fldCharType="end"/>
                    </w:r>
                    <w:r>
                      <w:t xml:space="preserve"> 页</w:t>
                    </w:r>
                  </w:p>
                </w:txbxContent>
              </v:textbox>
            </v:shape>
          </w:pict>
        </mc:Fallback>
      </mc:AlternateContent>
    </w:r>
  </w:p>
  <w:p w14:paraId="08584F23">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0BC9C047">
    <w:pPr>
      <w:pStyle w:val="30"/>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2"/>
      <w:pBdr>
        <w:bottom w:val="single" w:color="auto" w:sz="4" w:space="1"/>
      </w:pBdr>
      <w:jc w:val="right"/>
    </w:pPr>
    <w:r>
      <w:rPr>
        <w:rFonts w:hint="eastAsia"/>
        <w:lang w:eastAsia="zh-CN"/>
      </w:rPr>
      <w:t>江苏省横林高级中学2025-2028年保安、舍管服务项目</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2"/>
      <w:pBdr>
        <w:bottom w:val="single" w:color="auto" w:sz="4" w:space="1"/>
      </w:pBdr>
      <w:jc w:val="right"/>
    </w:pPr>
    <w:r>
      <w:rPr>
        <w:rFonts w:hint="eastAsia"/>
        <w:lang w:eastAsia="zh-CN"/>
      </w:rPr>
      <w:t>江苏省横林高级中学2025-2028年保安、舍管服务项目</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2"/>
      <w:jc w:val="right"/>
    </w:pPr>
    <w:r>
      <w:rPr>
        <w:rFonts w:hint="eastAsia"/>
        <w:lang w:eastAsia="zh-CN"/>
      </w:rPr>
      <w:t>江苏省横林高级中学2025-2028年保安、舍管服务项目</w:t>
    </w:r>
    <w:r>
      <w:rPr>
        <w:rFonts w:hint="eastAsia"/>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2"/>
      <w:jc w:val="right"/>
    </w:pPr>
    <w:r>
      <w:rPr>
        <w:rFonts w:hint="eastAsia"/>
        <w:lang w:eastAsia="zh-CN"/>
      </w:rPr>
      <w:t>江苏省横林高级中学2025-2028年保安、舍管服务项目</w:t>
    </w:r>
    <w:r>
      <w:rPr>
        <w:rFonts w:hint="eastAsia"/>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2668">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DC1D0">
    <w:pPr>
      <w:pStyle w:val="3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2"/>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F01BD2"/>
    <w:rsid w:val="02761617"/>
    <w:rsid w:val="027C457E"/>
    <w:rsid w:val="028077D7"/>
    <w:rsid w:val="03123F9D"/>
    <w:rsid w:val="033A0998"/>
    <w:rsid w:val="03594149"/>
    <w:rsid w:val="03741BF7"/>
    <w:rsid w:val="037C2718"/>
    <w:rsid w:val="03CA1521"/>
    <w:rsid w:val="042C2BE0"/>
    <w:rsid w:val="044F484E"/>
    <w:rsid w:val="046F5C3F"/>
    <w:rsid w:val="047F2D99"/>
    <w:rsid w:val="048F1A9B"/>
    <w:rsid w:val="04F80D9E"/>
    <w:rsid w:val="05421EFD"/>
    <w:rsid w:val="054757C2"/>
    <w:rsid w:val="056D3D17"/>
    <w:rsid w:val="05C574CF"/>
    <w:rsid w:val="05CA69C2"/>
    <w:rsid w:val="05D435B9"/>
    <w:rsid w:val="067B7666"/>
    <w:rsid w:val="06CE4859"/>
    <w:rsid w:val="07004D9A"/>
    <w:rsid w:val="07251BF4"/>
    <w:rsid w:val="072A06D6"/>
    <w:rsid w:val="07375B39"/>
    <w:rsid w:val="07486125"/>
    <w:rsid w:val="074931CF"/>
    <w:rsid w:val="07776973"/>
    <w:rsid w:val="078111D3"/>
    <w:rsid w:val="07AD2313"/>
    <w:rsid w:val="08044557"/>
    <w:rsid w:val="080D6DA9"/>
    <w:rsid w:val="08146F71"/>
    <w:rsid w:val="084542FA"/>
    <w:rsid w:val="08614263"/>
    <w:rsid w:val="08716E9D"/>
    <w:rsid w:val="08E92ED7"/>
    <w:rsid w:val="091E1A28"/>
    <w:rsid w:val="093C3886"/>
    <w:rsid w:val="093F332C"/>
    <w:rsid w:val="09912903"/>
    <w:rsid w:val="09BC33E0"/>
    <w:rsid w:val="09C555AA"/>
    <w:rsid w:val="0A0A31C0"/>
    <w:rsid w:val="0A0D3022"/>
    <w:rsid w:val="0A2F1DB7"/>
    <w:rsid w:val="0A603399"/>
    <w:rsid w:val="0A782765"/>
    <w:rsid w:val="0A8E3FFB"/>
    <w:rsid w:val="0AC27289"/>
    <w:rsid w:val="0B302536"/>
    <w:rsid w:val="0B571845"/>
    <w:rsid w:val="0B660C1A"/>
    <w:rsid w:val="0BB407B3"/>
    <w:rsid w:val="0BB84D66"/>
    <w:rsid w:val="0BC47C2C"/>
    <w:rsid w:val="0BE72312"/>
    <w:rsid w:val="0C1459AC"/>
    <w:rsid w:val="0C5F24C0"/>
    <w:rsid w:val="0CB03D2F"/>
    <w:rsid w:val="0CC90B9E"/>
    <w:rsid w:val="0CCB058F"/>
    <w:rsid w:val="0D2D431B"/>
    <w:rsid w:val="0D597A12"/>
    <w:rsid w:val="0D5E3DDF"/>
    <w:rsid w:val="0D7F0920"/>
    <w:rsid w:val="0D9C0677"/>
    <w:rsid w:val="0DAD00CC"/>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6E2498"/>
    <w:rsid w:val="108A0980"/>
    <w:rsid w:val="11276C93"/>
    <w:rsid w:val="11301BE1"/>
    <w:rsid w:val="1138046C"/>
    <w:rsid w:val="113879FA"/>
    <w:rsid w:val="1172177E"/>
    <w:rsid w:val="117C423F"/>
    <w:rsid w:val="11966C2F"/>
    <w:rsid w:val="11D87F8D"/>
    <w:rsid w:val="122600A1"/>
    <w:rsid w:val="12490E8B"/>
    <w:rsid w:val="124B6EFE"/>
    <w:rsid w:val="12B17AB7"/>
    <w:rsid w:val="12C908D6"/>
    <w:rsid w:val="12D439DD"/>
    <w:rsid w:val="13203999"/>
    <w:rsid w:val="13372CCF"/>
    <w:rsid w:val="134000FB"/>
    <w:rsid w:val="13520F3D"/>
    <w:rsid w:val="1364392F"/>
    <w:rsid w:val="137632D9"/>
    <w:rsid w:val="145D23C6"/>
    <w:rsid w:val="14BC7273"/>
    <w:rsid w:val="15270F29"/>
    <w:rsid w:val="15323E58"/>
    <w:rsid w:val="15387F8D"/>
    <w:rsid w:val="153E24C4"/>
    <w:rsid w:val="15985D92"/>
    <w:rsid w:val="15A64936"/>
    <w:rsid w:val="15AE34DE"/>
    <w:rsid w:val="15AE376F"/>
    <w:rsid w:val="15B504E1"/>
    <w:rsid w:val="16285FB7"/>
    <w:rsid w:val="163D11BB"/>
    <w:rsid w:val="16442095"/>
    <w:rsid w:val="165810F8"/>
    <w:rsid w:val="165E3157"/>
    <w:rsid w:val="16BB7EF6"/>
    <w:rsid w:val="173C2D6C"/>
    <w:rsid w:val="17464EDF"/>
    <w:rsid w:val="174C429D"/>
    <w:rsid w:val="1756574D"/>
    <w:rsid w:val="175A7EC9"/>
    <w:rsid w:val="17711974"/>
    <w:rsid w:val="17AB1930"/>
    <w:rsid w:val="17F93E0B"/>
    <w:rsid w:val="1866030F"/>
    <w:rsid w:val="188D727F"/>
    <w:rsid w:val="18976BAC"/>
    <w:rsid w:val="189A635D"/>
    <w:rsid w:val="18D86AC4"/>
    <w:rsid w:val="18DB006D"/>
    <w:rsid w:val="18E91847"/>
    <w:rsid w:val="18F90F15"/>
    <w:rsid w:val="18FE29CF"/>
    <w:rsid w:val="197669C8"/>
    <w:rsid w:val="19965929"/>
    <w:rsid w:val="1A053A20"/>
    <w:rsid w:val="1A235A37"/>
    <w:rsid w:val="1A693E78"/>
    <w:rsid w:val="1A9E670A"/>
    <w:rsid w:val="1ABB2ACE"/>
    <w:rsid w:val="1B3A2DE8"/>
    <w:rsid w:val="1B670A02"/>
    <w:rsid w:val="1C02080D"/>
    <w:rsid w:val="1C455CA5"/>
    <w:rsid w:val="1C4F731E"/>
    <w:rsid w:val="1C72291E"/>
    <w:rsid w:val="1C8D6AE1"/>
    <w:rsid w:val="1C9D42AD"/>
    <w:rsid w:val="1CB84DBF"/>
    <w:rsid w:val="1CBD6E94"/>
    <w:rsid w:val="1CBE61EC"/>
    <w:rsid w:val="1CCE79E9"/>
    <w:rsid w:val="1D214EDE"/>
    <w:rsid w:val="1D2C69D2"/>
    <w:rsid w:val="1D5F1562"/>
    <w:rsid w:val="1D68754A"/>
    <w:rsid w:val="1D6D2C92"/>
    <w:rsid w:val="1E546F73"/>
    <w:rsid w:val="1EAA5345"/>
    <w:rsid w:val="1EB81AFB"/>
    <w:rsid w:val="1ED41ADC"/>
    <w:rsid w:val="1EDE2CAF"/>
    <w:rsid w:val="1F0D582F"/>
    <w:rsid w:val="1F466F95"/>
    <w:rsid w:val="1F5C4F99"/>
    <w:rsid w:val="1F5F2643"/>
    <w:rsid w:val="1FBE5319"/>
    <w:rsid w:val="1FC11D29"/>
    <w:rsid w:val="1FCA128A"/>
    <w:rsid w:val="1FD30803"/>
    <w:rsid w:val="1FDC6A71"/>
    <w:rsid w:val="1FE04BDC"/>
    <w:rsid w:val="200A700D"/>
    <w:rsid w:val="200C041C"/>
    <w:rsid w:val="20195183"/>
    <w:rsid w:val="20805C01"/>
    <w:rsid w:val="20DB0B4D"/>
    <w:rsid w:val="20FF6149"/>
    <w:rsid w:val="2121150A"/>
    <w:rsid w:val="2132348A"/>
    <w:rsid w:val="218B501C"/>
    <w:rsid w:val="21D75FA1"/>
    <w:rsid w:val="21FB262E"/>
    <w:rsid w:val="2239193A"/>
    <w:rsid w:val="22417F54"/>
    <w:rsid w:val="22506DDC"/>
    <w:rsid w:val="226A06FE"/>
    <w:rsid w:val="227040E3"/>
    <w:rsid w:val="229212D1"/>
    <w:rsid w:val="2298179E"/>
    <w:rsid w:val="22CF641B"/>
    <w:rsid w:val="23206C6F"/>
    <w:rsid w:val="234636C5"/>
    <w:rsid w:val="235B437F"/>
    <w:rsid w:val="23803162"/>
    <w:rsid w:val="238E0C0F"/>
    <w:rsid w:val="23960D09"/>
    <w:rsid w:val="239E00B4"/>
    <w:rsid w:val="23D14071"/>
    <w:rsid w:val="23EF1D66"/>
    <w:rsid w:val="240A715C"/>
    <w:rsid w:val="240B5D75"/>
    <w:rsid w:val="24207C9D"/>
    <w:rsid w:val="242B34A5"/>
    <w:rsid w:val="24E0203E"/>
    <w:rsid w:val="251E74A4"/>
    <w:rsid w:val="252D51EA"/>
    <w:rsid w:val="25D50209"/>
    <w:rsid w:val="25E53A11"/>
    <w:rsid w:val="26335498"/>
    <w:rsid w:val="26734128"/>
    <w:rsid w:val="2691688E"/>
    <w:rsid w:val="26BE7FBB"/>
    <w:rsid w:val="26C34DCC"/>
    <w:rsid w:val="26D74FA2"/>
    <w:rsid w:val="26FE003E"/>
    <w:rsid w:val="2700039E"/>
    <w:rsid w:val="27083FF7"/>
    <w:rsid w:val="273B6B9C"/>
    <w:rsid w:val="27427F2B"/>
    <w:rsid w:val="2760322B"/>
    <w:rsid w:val="27843CE5"/>
    <w:rsid w:val="280254F9"/>
    <w:rsid w:val="28520641"/>
    <w:rsid w:val="28861BF2"/>
    <w:rsid w:val="289035E9"/>
    <w:rsid w:val="28BF4863"/>
    <w:rsid w:val="28F20E26"/>
    <w:rsid w:val="2927562A"/>
    <w:rsid w:val="292860AC"/>
    <w:rsid w:val="29811B51"/>
    <w:rsid w:val="29F8164F"/>
    <w:rsid w:val="2AB4113F"/>
    <w:rsid w:val="2B0E622B"/>
    <w:rsid w:val="2B147E30"/>
    <w:rsid w:val="2B21663D"/>
    <w:rsid w:val="2B4C65E4"/>
    <w:rsid w:val="2B4E2C5C"/>
    <w:rsid w:val="2B9D7E8C"/>
    <w:rsid w:val="2BD46058"/>
    <w:rsid w:val="2C421158"/>
    <w:rsid w:val="2C444EE5"/>
    <w:rsid w:val="2C520C10"/>
    <w:rsid w:val="2C6B308A"/>
    <w:rsid w:val="2C80255E"/>
    <w:rsid w:val="2CC54755"/>
    <w:rsid w:val="2CC557A9"/>
    <w:rsid w:val="2CCF2447"/>
    <w:rsid w:val="2CDB6C56"/>
    <w:rsid w:val="2D11433C"/>
    <w:rsid w:val="2D53381B"/>
    <w:rsid w:val="2D6B394C"/>
    <w:rsid w:val="2DC021D7"/>
    <w:rsid w:val="2DCB03B2"/>
    <w:rsid w:val="2E290FE3"/>
    <w:rsid w:val="2E3E69B3"/>
    <w:rsid w:val="2E513F1D"/>
    <w:rsid w:val="2E861403"/>
    <w:rsid w:val="2EF610A0"/>
    <w:rsid w:val="2F0E55AC"/>
    <w:rsid w:val="2F9B48B1"/>
    <w:rsid w:val="2FC16088"/>
    <w:rsid w:val="2FC7383A"/>
    <w:rsid w:val="2FED406A"/>
    <w:rsid w:val="2FFA3814"/>
    <w:rsid w:val="300B48FC"/>
    <w:rsid w:val="300D5278"/>
    <w:rsid w:val="30536E9C"/>
    <w:rsid w:val="306163DC"/>
    <w:rsid w:val="306925E3"/>
    <w:rsid w:val="309452F0"/>
    <w:rsid w:val="30B03C1E"/>
    <w:rsid w:val="30E6139A"/>
    <w:rsid w:val="30EB5711"/>
    <w:rsid w:val="31266676"/>
    <w:rsid w:val="31945C90"/>
    <w:rsid w:val="31B0350F"/>
    <w:rsid w:val="31D200FD"/>
    <w:rsid w:val="321F31E7"/>
    <w:rsid w:val="32432D5F"/>
    <w:rsid w:val="32517538"/>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5040F15"/>
    <w:rsid w:val="357E1B4C"/>
    <w:rsid w:val="35CB3858"/>
    <w:rsid w:val="35E131A4"/>
    <w:rsid w:val="360C6A24"/>
    <w:rsid w:val="3616733E"/>
    <w:rsid w:val="36172963"/>
    <w:rsid w:val="361A48B6"/>
    <w:rsid w:val="36214B73"/>
    <w:rsid w:val="367B6862"/>
    <w:rsid w:val="36B50780"/>
    <w:rsid w:val="36E6103A"/>
    <w:rsid w:val="37517D16"/>
    <w:rsid w:val="37535139"/>
    <w:rsid w:val="37840064"/>
    <w:rsid w:val="37DF3665"/>
    <w:rsid w:val="38055562"/>
    <w:rsid w:val="3814146F"/>
    <w:rsid w:val="38855EC9"/>
    <w:rsid w:val="38AE1866"/>
    <w:rsid w:val="38F65DA8"/>
    <w:rsid w:val="392801F7"/>
    <w:rsid w:val="39533975"/>
    <w:rsid w:val="397651E3"/>
    <w:rsid w:val="398F42B0"/>
    <w:rsid w:val="39AB5E03"/>
    <w:rsid w:val="39C9502D"/>
    <w:rsid w:val="39E855FF"/>
    <w:rsid w:val="3A2A4F7A"/>
    <w:rsid w:val="3A2C09FC"/>
    <w:rsid w:val="3AD62A0C"/>
    <w:rsid w:val="3B2A7273"/>
    <w:rsid w:val="3B365BA1"/>
    <w:rsid w:val="3B5E1AF9"/>
    <w:rsid w:val="3B7F1D55"/>
    <w:rsid w:val="3BCB6780"/>
    <w:rsid w:val="3BE61375"/>
    <w:rsid w:val="3C1F4887"/>
    <w:rsid w:val="3C2846F1"/>
    <w:rsid w:val="3C4A614C"/>
    <w:rsid w:val="3C5457A1"/>
    <w:rsid w:val="3C596398"/>
    <w:rsid w:val="3C5B0135"/>
    <w:rsid w:val="3C643C9E"/>
    <w:rsid w:val="3C6A3D54"/>
    <w:rsid w:val="3C97441D"/>
    <w:rsid w:val="3CA20495"/>
    <w:rsid w:val="3CCB7B67"/>
    <w:rsid w:val="3CD72BF9"/>
    <w:rsid w:val="3D5D19FB"/>
    <w:rsid w:val="3D8A1F66"/>
    <w:rsid w:val="3DAC5616"/>
    <w:rsid w:val="3DD41A54"/>
    <w:rsid w:val="3DD735BC"/>
    <w:rsid w:val="3E09134A"/>
    <w:rsid w:val="3E2504E1"/>
    <w:rsid w:val="3E5E1ED1"/>
    <w:rsid w:val="3EA56DA8"/>
    <w:rsid w:val="3EAB71FE"/>
    <w:rsid w:val="3EC42C77"/>
    <w:rsid w:val="3EE53B65"/>
    <w:rsid w:val="3EEC4EF4"/>
    <w:rsid w:val="3EEE4396"/>
    <w:rsid w:val="3F097652"/>
    <w:rsid w:val="3F2033DB"/>
    <w:rsid w:val="3F6F2A2B"/>
    <w:rsid w:val="3FB847FD"/>
    <w:rsid w:val="3FDB2873"/>
    <w:rsid w:val="3FF07BB3"/>
    <w:rsid w:val="403854EB"/>
    <w:rsid w:val="404D6B1C"/>
    <w:rsid w:val="406867FC"/>
    <w:rsid w:val="40970437"/>
    <w:rsid w:val="40B76E3C"/>
    <w:rsid w:val="41033FEE"/>
    <w:rsid w:val="416F6D2C"/>
    <w:rsid w:val="41C5681F"/>
    <w:rsid w:val="41D41C6F"/>
    <w:rsid w:val="42234BB5"/>
    <w:rsid w:val="425912B6"/>
    <w:rsid w:val="42595D90"/>
    <w:rsid w:val="42720799"/>
    <w:rsid w:val="42B37AD7"/>
    <w:rsid w:val="42CD0A98"/>
    <w:rsid w:val="42D2623B"/>
    <w:rsid w:val="430F736E"/>
    <w:rsid w:val="431A0C09"/>
    <w:rsid w:val="43210EE4"/>
    <w:rsid w:val="434A7747"/>
    <w:rsid w:val="437B7F20"/>
    <w:rsid w:val="43B104BA"/>
    <w:rsid w:val="43B86866"/>
    <w:rsid w:val="445643E2"/>
    <w:rsid w:val="44783E9F"/>
    <w:rsid w:val="4489508F"/>
    <w:rsid w:val="45B15221"/>
    <w:rsid w:val="45CC14CF"/>
    <w:rsid w:val="45EB6C16"/>
    <w:rsid w:val="46152922"/>
    <w:rsid w:val="46194489"/>
    <w:rsid w:val="4690085B"/>
    <w:rsid w:val="46BF2EEE"/>
    <w:rsid w:val="46CE3571"/>
    <w:rsid w:val="46D00C57"/>
    <w:rsid w:val="4729480B"/>
    <w:rsid w:val="473604B5"/>
    <w:rsid w:val="477F6295"/>
    <w:rsid w:val="479B2226"/>
    <w:rsid w:val="480E2158"/>
    <w:rsid w:val="481C5318"/>
    <w:rsid w:val="483879E2"/>
    <w:rsid w:val="4857637F"/>
    <w:rsid w:val="485C23FD"/>
    <w:rsid w:val="486F0BD4"/>
    <w:rsid w:val="48A02FEC"/>
    <w:rsid w:val="490C21FE"/>
    <w:rsid w:val="49171181"/>
    <w:rsid w:val="4929464F"/>
    <w:rsid w:val="493F79D7"/>
    <w:rsid w:val="496B7A53"/>
    <w:rsid w:val="49EC67F4"/>
    <w:rsid w:val="49F47B5D"/>
    <w:rsid w:val="4A1C322F"/>
    <w:rsid w:val="4A327B96"/>
    <w:rsid w:val="4A3B394B"/>
    <w:rsid w:val="4A450C78"/>
    <w:rsid w:val="4A6E2C61"/>
    <w:rsid w:val="4A840F83"/>
    <w:rsid w:val="4AF30332"/>
    <w:rsid w:val="4B050CA9"/>
    <w:rsid w:val="4B646309"/>
    <w:rsid w:val="4B65373A"/>
    <w:rsid w:val="4B6A35BC"/>
    <w:rsid w:val="4C026DB0"/>
    <w:rsid w:val="4C8A3367"/>
    <w:rsid w:val="4C930DA8"/>
    <w:rsid w:val="4CC654BF"/>
    <w:rsid w:val="4D00163A"/>
    <w:rsid w:val="4D015F24"/>
    <w:rsid w:val="4D0F1DAD"/>
    <w:rsid w:val="4D697710"/>
    <w:rsid w:val="4D6D5069"/>
    <w:rsid w:val="4D783DF7"/>
    <w:rsid w:val="4D820FE4"/>
    <w:rsid w:val="4D84637D"/>
    <w:rsid w:val="4DAD6072"/>
    <w:rsid w:val="4DBB1907"/>
    <w:rsid w:val="4E0245DC"/>
    <w:rsid w:val="4E9F706E"/>
    <w:rsid w:val="4EA8070C"/>
    <w:rsid w:val="4EAA119F"/>
    <w:rsid w:val="4EFE1245"/>
    <w:rsid w:val="4F0F5BE3"/>
    <w:rsid w:val="4F2B262C"/>
    <w:rsid w:val="4F321701"/>
    <w:rsid w:val="4F566D5B"/>
    <w:rsid w:val="4F715FBE"/>
    <w:rsid w:val="4F9E06EF"/>
    <w:rsid w:val="500A0A51"/>
    <w:rsid w:val="502E6961"/>
    <w:rsid w:val="5035213F"/>
    <w:rsid w:val="50403400"/>
    <w:rsid w:val="505E5526"/>
    <w:rsid w:val="50814A2E"/>
    <w:rsid w:val="508F7112"/>
    <w:rsid w:val="50C35389"/>
    <w:rsid w:val="50D254CE"/>
    <w:rsid w:val="510C1AD5"/>
    <w:rsid w:val="510F4A72"/>
    <w:rsid w:val="51477E34"/>
    <w:rsid w:val="51A943A5"/>
    <w:rsid w:val="52010488"/>
    <w:rsid w:val="521F0CE5"/>
    <w:rsid w:val="52422029"/>
    <w:rsid w:val="52616BAE"/>
    <w:rsid w:val="52814018"/>
    <w:rsid w:val="52923265"/>
    <w:rsid w:val="529C3721"/>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41273A"/>
    <w:rsid w:val="558C3ECD"/>
    <w:rsid w:val="559351F5"/>
    <w:rsid w:val="55A62D87"/>
    <w:rsid w:val="563F3703"/>
    <w:rsid w:val="56475F07"/>
    <w:rsid w:val="567E0D90"/>
    <w:rsid w:val="5684679D"/>
    <w:rsid w:val="56CD73C9"/>
    <w:rsid w:val="56DF05DE"/>
    <w:rsid w:val="56F70118"/>
    <w:rsid w:val="56F72230"/>
    <w:rsid w:val="57AD03DC"/>
    <w:rsid w:val="57C727B0"/>
    <w:rsid w:val="57DE484E"/>
    <w:rsid w:val="57FC6189"/>
    <w:rsid w:val="580E39B4"/>
    <w:rsid w:val="5823259F"/>
    <w:rsid w:val="586C12F4"/>
    <w:rsid w:val="588658D3"/>
    <w:rsid w:val="58882378"/>
    <w:rsid w:val="58CE139A"/>
    <w:rsid w:val="590826D8"/>
    <w:rsid w:val="590E38BE"/>
    <w:rsid w:val="592216BA"/>
    <w:rsid w:val="592340EB"/>
    <w:rsid w:val="59690A2E"/>
    <w:rsid w:val="597B0EDE"/>
    <w:rsid w:val="59AD61FD"/>
    <w:rsid w:val="5A056018"/>
    <w:rsid w:val="5AEE73F8"/>
    <w:rsid w:val="5B2B06FA"/>
    <w:rsid w:val="5B532A0F"/>
    <w:rsid w:val="5B5A2123"/>
    <w:rsid w:val="5B8352C6"/>
    <w:rsid w:val="5B8B43D5"/>
    <w:rsid w:val="5BB46942"/>
    <w:rsid w:val="5BC26B5C"/>
    <w:rsid w:val="5BE9497A"/>
    <w:rsid w:val="5BED1419"/>
    <w:rsid w:val="5C25339C"/>
    <w:rsid w:val="5C50535F"/>
    <w:rsid w:val="5C844CCC"/>
    <w:rsid w:val="5C993C03"/>
    <w:rsid w:val="5CC93D27"/>
    <w:rsid w:val="5CCD707A"/>
    <w:rsid w:val="5D1859F9"/>
    <w:rsid w:val="5D1B53A8"/>
    <w:rsid w:val="5D423AD9"/>
    <w:rsid w:val="5D524382"/>
    <w:rsid w:val="5D536D5C"/>
    <w:rsid w:val="5D8C4BED"/>
    <w:rsid w:val="5D8C5540"/>
    <w:rsid w:val="5DF218C2"/>
    <w:rsid w:val="5DF721D2"/>
    <w:rsid w:val="5EFA5929"/>
    <w:rsid w:val="5F017575"/>
    <w:rsid w:val="5F073306"/>
    <w:rsid w:val="5F1119B5"/>
    <w:rsid w:val="5F2711D9"/>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F23368"/>
    <w:rsid w:val="611E3173"/>
    <w:rsid w:val="617B1E5D"/>
    <w:rsid w:val="61895909"/>
    <w:rsid w:val="61B94A27"/>
    <w:rsid w:val="61F5665D"/>
    <w:rsid w:val="62016C74"/>
    <w:rsid w:val="623C31ED"/>
    <w:rsid w:val="62C10F53"/>
    <w:rsid w:val="62FE04A2"/>
    <w:rsid w:val="63C156E5"/>
    <w:rsid w:val="63E74D4D"/>
    <w:rsid w:val="640209CD"/>
    <w:rsid w:val="64234664"/>
    <w:rsid w:val="64747A8A"/>
    <w:rsid w:val="649E7723"/>
    <w:rsid w:val="64A5210F"/>
    <w:rsid w:val="658D79C4"/>
    <w:rsid w:val="66304E17"/>
    <w:rsid w:val="664B39FF"/>
    <w:rsid w:val="66B772E6"/>
    <w:rsid w:val="66CA24B2"/>
    <w:rsid w:val="66E13E6B"/>
    <w:rsid w:val="67577A52"/>
    <w:rsid w:val="676F7BC1"/>
    <w:rsid w:val="67851192"/>
    <w:rsid w:val="67A47F2F"/>
    <w:rsid w:val="67C003E2"/>
    <w:rsid w:val="67C717AB"/>
    <w:rsid w:val="67F87268"/>
    <w:rsid w:val="6838144E"/>
    <w:rsid w:val="683B64F9"/>
    <w:rsid w:val="6848469A"/>
    <w:rsid w:val="68531405"/>
    <w:rsid w:val="68790CF7"/>
    <w:rsid w:val="687C100B"/>
    <w:rsid w:val="689254AB"/>
    <w:rsid w:val="68A336B9"/>
    <w:rsid w:val="68AA7398"/>
    <w:rsid w:val="69272054"/>
    <w:rsid w:val="69283F28"/>
    <w:rsid w:val="692D388F"/>
    <w:rsid w:val="6942248C"/>
    <w:rsid w:val="6966319B"/>
    <w:rsid w:val="696D69A7"/>
    <w:rsid w:val="698C5584"/>
    <w:rsid w:val="69BF1AAA"/>
    <w:rsid w:val="69D92156"/>
    <w:rsid w:val="6A6D2E0E"/>
    <w:rsid w:val="6A8F4802"/>
    <w:rsid w:val="6A946AB8"/>
    <w:rsid w:val="6AB4102B"/>
    <w:rsid w:val="6ACF541B"/>
    <w:rsid w:val="6AD62431"/>
    <w:rsid w:val="6B200D16"/>
    <w:rsid w:val="6B3E3371"/>
    <w:rsid w:val="6B524E15"/>
    <w:rsid w:val="6B623CC4"/>
    <w:rsid w:val="6B640ADF"/>
    <w:rsid w:val="6BB63E9E"/>
    <w:rsid w:val="6BFE053D"/>
    <w:rsid w:val="6C1A459F"/>
    <w:rsid w:val="6C3F1E8F"/>
    <w:rsid w:val="6C6E4D0A"/>
    <w:rsid w:val="6C8F3CA7"/>
    <w:rsid w:val="6C9500C9"/>
    <w:rsid w:val="6C9E3A9C"/>
    <w:rsid w:val="6CA93935"/>
    <w:rsid w:val="6CB63947"/>
    <w:rsid w:val="6CB85659"/>
    <w:rsid w:val="6CD419AC"/>
    <w:rsid w:val="6D0D4104"/>
    <w:rsid w:val="6D3C3B0C"/>
    <w:rsid w:val="6D595D89"/>
    <w:rsid w:val="6D64140D"/>
    <w:rsid w:val="6D773C65"/>
    <w:rsid w:val="6D8A5754"/>
    <w:rsid w:val="6D8F2035"/>
    <w:rsid w:val="6E0F3802"/>
    <w:rsid w:val="6E3614EB"/>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F10430"/>
    <w:rsid w:val="70625D85"/>
    <w:rsid w:val="70853504"/>
    <w:rsid w:val="70C11743"/>
    <w:rsid w:val="70F0185C"/>
    <w:rsid w:val="710E3FA6"/>
    <w:rsid w:val="718906DB"/>
    <w:rsid w:val="71A62D95"/>
    <w:rsid w:val="71E909FE"/>
    <w:rsid w:val="71EE0AFF"/>
    <w:rsid w:val="71F15DA2"/>
    <w:rsid w:val="722E4900"/>
    <w:rsid w:val="723D30E3"/>
    <w:rsid w:val="724953A1"/>
    <w:rsid w:val="724B52EC"/>
    <w:rsid w:val="725162FB"/>
    <w:rsid w:val="725F05A5"/>
    <w:rsid w:val="72640321"/>
    <w:rsid w:val="728D4703"/>
    <w:rsid w:val="72A53E47"/>
    <w:rsid w:val="72AC71C6"/>
    <w:rsid w:val="72C85A38"/>
    <w:rsid w:val="72CC236B"/>
    <w:rsid w:val="73016E15"/>
    <w:rsid w:val="735250B0"/>
    <w:rsid w:val="735A5AEC"/>
    <w:rsid w:val="73660117"/>
    <w:rsid w:val="737C2A4C"/>
    <w:rsid w:val="73990F3E"/>
    <w:rsid w:val="739D114F"/>
    <w:rsid w:val="73B15F3E"/>
    <w:rsid w:val="73BD5740"/>
    <w:rsid w:val="73CE3DC7"/>
    <w:rsid w:val="740B06A5"/>
    <w:rsid w:val="74212243"/>
    <w:rsid w:val="742C597A"/>
    <w:rsid w:val="7459167A"/>
    <w:rsid w:val="74675EA7"/>
    <w:rsid w:val="746C3D16"/>
    <w:rsid w:val="74A13052"/>
    <w:rsid w:val="74AD7F42"/>
    <w:rsid w:val="74EE1B48"/>
    <w:rsid w:val="74F17E67"/>
    <w:rsid w:val="752915E7"/>
    <w:rsid w:val="75296EFD"/>
    <w:rsid w:val="753E0157"/>
    <w:rsid w:val="75B710B1"/>
    <w:rsid w:val="75D85012"/>
    <w:rsid w:val="76114C7B"/>
    <w:rsid w:val="767E1BCE"/>
    <w:rsid w:val="76830F93"/>
    <w:rsid w:val="76AA10B0"/>
    <w:rsid w:val="76E13FE0"/>
    <w:rsid w:val="778E33FA"/>
    <w:rsid w:val="77BA41C7"/>
    <w:rsid w:val="77D706B7"/>
    <w:rsid w:val="77F26C6D"/>
    <w:rsid w:val="77F97408"/>
    <w:rsid w:val="783E63F5"/>
    <w:rsid w:val="785F7590"/>
    <w:rsid w:val="78654DF4"/>
    <w:rsid w:val="787E7481"/>
    <w:rsid w:val="78BC6FC0"/>
    <w:rsid w:val="78C338C8"/>
    <w:rsid w:val="7964353D"/>
    <w:rsid w:val="79A01DE7"/>
    <w:rsid w:val="79A12D07"/>
    <w:rsid w:val="79BE0C60"/>
    <w:rsid w:val="7A320D06"/>
    <w:rsid w:val="7A5C1F07"/>
    <w:rsid w:val="7A6B3551"/>
    <w:rsid w:val="7AEE30CB"/>
    <w:rsid w:val="7B006494"/>
    <w:rsid w:val="7BC506FF"/>
    <w:rsid w:val="7C140C39"/>
    <w:rsid w:val="7C167908"/>
    <w:rsid w:val="7C513A51"/>
    <w:rsid w:val="7C5432CE"/>
    <w:rsid w:val="7CCD4D16"/>
    <w:rsid w:val="7D173AAB"/>
    <w:rsid w:val="7D3F693C"/>
    <w:rsid w:val="7D677171"/>
    <w:rsid w:val="7E490D14"/>
    <w:rsid w:val="7E5A6A7D"/>
    <w:rsid w:val="7E8F05A6"/>
    <w:rsid w:val="7EAB1087"/>
    <w:rsid w:val="7EEB3B79"/>
    <w:rsid w:val="7EED5DB3"/>
    <w:rsid w:val="7F1301C5"/>
    <w:rsid w:val="7F330B17"/>
    <w:rsid w:val="7F4F1B59"/>
    <w:rsid w:val="7F726F86"/>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4"/>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link w:val="60"/>
    <w:qFormat/>
    <w:uiPriority w:val="0"/>
    <w:pPr>
      <w:autoSpaceDE w:val="0"/>
      <w:autoSpaceDN w:val="0"/>
      <w:adjustRightInd w:val="0"/>
      <w:ind w:firstLine="420"/>
      <w:jc w:val="left"/>
    </w:pPr>
    <w:rPr>
      <w:rFonts w:ascii="宋体"/>
      <w:sz w:val="24"/>
    </w:rPr>
  </w:style>
  <w:style w:type="paragraph" w:styleId="5">
    <w:name w:val="Body Text First Indent 2"/>
    <w:basedOn w:val="6"/>
    <w:next w:val="1"/>
    <w:link w:val="84"/>
    <w:qFormat/>
    <w:uiPriority w:val="0"/>
    <w:pPr>
      <w:spacing w:after="120" w:line="480" w:lineRule="exact"/>
      <w:ind w:left="420" w:leftChars="200" w:firstLine="420" w:firstLineChars="200"/>
    </w:pPr>
    <w:rPr>
      <w:szCs w:val="20"/>
    </w:rPr>
  </w:style>
  <w:style w:type="paragraph" w:styleId="6">
    <w:name w:val="Body Text Indent"/>
    <w:basedOn w:val="1"/>
    <w:next w:val="1"/>
    <w:link w:val="72"/>
    <w:qFormat/>
    <w:uiPriority w:val="0"/>
    <w:pPr>
      <w:spacing w:line="360" w:lineRule="auto"/>
      <w:ind w:firstLine="570"/>
    </w:pPr>
    <w:rPr>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index 5"/>
    <w:basedOn w:val="1"/>
    <w:next w:val="1"/>
    <w:unhideWhenUsed/>
    <w:qFormat/>
    <w:uiPriority w:val="99"/>
    <w:pPr>
      <w:ind w:left="800" w:leftChars="800"/>
    </w:pPr>
  </w:style>
  <w:style w:type="paragraph" w:styleId="17">
    <w:name w:val="Document Map"/>
    <w:basedOn w:val="1"/>
    <w:link w:val="68"/>
    <w:qFormat/>
    <w:uiPriority w:val="0"/>
    <w:pPr>
      <w:shd w:val="clear" w:color="auto" w:fill="000080"/>
    </w:pPr>
  </w:style>
  <w:style w:type="paragraph" w:styleId="18">
    <w:name w:val="annotation text"/>
    <w:basedOn w:val="1"/>
    <w:link w:val="69"/>
    <w:qFormat/>
    <w:uiPriority w:val="0"/>
    <w:pPr>
      <w:jc w:val="left"/>
    </w:pPr>
  </w:style>
  <w:style w:type="paragraph" w:styleId="19">
    <w:name w:val="Body Text 3"/>
    <w:basedOn w:val="1"/>
    <w:link w:val="70"/>
    <w:qFormat/>
    <w:uiPriority w:val="0"/>
    <w:pPr>
      <w:spacing w:after="120"/>
    </w:pPr>
    <w:rPr>
      <w:sz w:val="16"/>
      <w:szCs w:val="16"/>
    </w:rPr>
  </w:style>
  <w:style w:type="paragraph" w:styleId="20">
    <w:name w:val="Body Text"/>
    <w:basedOn w:val="1"/>
    <w:next w:val="1"/>
    <w:link w:val="71"/>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next w:val="4"/>
    <w:link w:val="7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4"/>
    <w:qFormat/>
    <w:uiPriority w:val="0"/>
    <w:pPr>
      <w:ind w:left="100" w:leftChars="2500"/>
    </w:pPr>
    <w:rPr>
      <w:rFonts w:ascii="仿宋_GB2312" w:hAnsi="宋体" w:eastAsia="仿宋_GB2312"/>
      <w:color w:val="000000"/>
      <w:sz w:val="24"/>
    </w:rPr>
  </w:style>
  <w:style w:type="paragraph" w:styleId="28">
    <w:name w:val="Body Text Indent 2"/>
    <w:basedOn w:val="1"/>
    <w:link w:val="75"/>
    <w:qFormat/>
    <w:uiPriority w:val="0"/>
    <w:pPr>
      <w:ind w:firstLine="480" w:firstLineChars="200"/>
    </w:pPr>
    <w:rPr>
      <w:rFonts w:ascii="仿宋_GB2312" w:eastAsia="仿宋_GB2312"/>
      <w:sz w:val="24"/>
    </w:rPr>
  </w:style>
  <w:style w:type="paragraph" w:styleId="29">
    <w:name w:val="Balloon Text"/>
    <w:basedOn w:val="1"/>
    <w:link w:val="76"/>
    <w:qFormat/>
    <w:uiPriority w:val="0"/>
    <w:rPr>
      <w:sz w:val="18"/>
      <w:szCs w:val="18"/>
    </w:rPr>
  </w:style>
  <w:style w:type="paragraph" w:styleId="30">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basedOn w:val="1"/>
    <w:qFormat/>
    <w:uiPriority w:val="0"/>
    <w:pPr>
      <w:snapToGrid w:val="0"/>
    </w:pPr>
    <w:rPr>
      <w:rFonts w:ascii="Arial" w:hAnsi="Arial"/>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6">
    <w:name w:val="footnote text"/>
    <w:basedOn w:val="1"/>
    <w:next w:val="16"/>
    <w:qFormat/>
    <w:uiPriority w:val="0"/>
    <w:pPr>
      <w:snapToGrid w:val="0"/>
      <w:spacing w:before="120" w:line="360" w:lineRule="auto"/>
      <w:ind w:firstLine="425"/>
      <w:jc w:val="left"/>
    </w:pPr>
    <w:rPr>
      <w:kern w:val="0"/>
      <w:sz w:val="18"/>
      <w:szCs w:val="20"/>
    </w:rPr>
  </w:style>
  <w:style w:type="paragraph" w:styleId="37">
    <w:name w:val="toc 6"/>
    <w:basedOn w:val="1"/>
    <w:next w:val="1"/>
    <w:qFormat/>
    <w:uiPriority w:val="0"/>
    <w:pPr>
      <w:ind w:left="2100" w:leftChars="1000"/>
    </w:pPr>
  </w:style>
  <w:style w:type="paragraph" w:styleId="38">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39"/>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81"/>
    <w:qFormat/>
    <w:uiPriority w:val="0"/>
    <w:pPr>
      <w:jc w:val="center"/>
      <w:outlineLvl w:val="0"/>
    </w:pPr>
    <w:rPr>
      <w:b/>
      <w:sz w:val="32"/>
      <w:szCs w:val="20"/>
    </w:rPr>
  </w:style>
  <w:style w:type="paragraph" w:styleId="45">
    <w:name w:val="annotation subject"/>
    <w:basedOn w:val="18"/>
    <w:next w:val="18"/>
    <w:link w:val="82"/>
    <w:qFormat/>
    <w:uiPriority w:val="0"/>
    <w:rPr>
      <w:b/>
      <w:bCs/>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character" w:customStyle="1" w:styleId="60">
    <w:name w:val="正文缩进 字符"/>
    <w:link w:val="4"/>
    <w:qFormat/>
    <w:uiPriority w:val="0"/>
    <w:rPr>
      <w:rFonts w:ascii="宋体" w:eastAsia="宋体"/>
      <w:kern w:val="2"/>
      <w:sz w:val="24"/>
      <w:szCs w:val="24"/>
      <w:lang w:val="en-US" w:eastAsia="zh-CN" w:bidi="ar-SA"/>
    </w:rPr>
  </w:style>
  <w:style w:type="character" w:customStyle="1" w:styleId="61">
    <w:name w:val="标题 3 字符"/>
    <w:link w:val="7"/>
    <w:qFormat/>
    <w:uiPriority w:val="0"/>
    <w:rPr>
      <w:rFonts w:ascii="宋体" w:eastAsia="宋体"/>
      <w:b/>
      <w:sz w:val="24"/>
      <w:u w:val="single"/>
      <w:lang w:val="en-US" w:eastAsia="zh-CN" w:bidi="ar-SA"/>
    </w:rPr>
  </w:style>
  <w:style w:type="character" w:customStyle="1" w:styleId="62">
    <w:name w:val="标题 4 字符"/>
    <w:link w:val="8"/>
    <w:qFormat/>
    <w:uiPriority w:val="0"/>
    <w:rPr>
      <w:rFonts w:ascii="Arial" w:hAnsi="Arial" w:eastAsia="黑体"/>
      <w:b/>
      <w:sz w:val="28"/>
    </w:rPr>
  </w:style>
  <w:style w:type="character" w:customStyle="1" w:styleId="63">
    <w:name w:val="标题 5 字符"/>
    <w:link w:val="9"/>
    <w:qFormat/>
    <w:uiPriority w:val="0"/>
    <w:rPr>
      <w:b/>
      <w:sz w:val="28"/>
    </w:rPr>
  </w:style>
  <w:style w:type="character" w:customStyle="1" w:styleId="64">
    <w:name w:val="标题 6 字符"/>
    <w:link w:val="10"/>
    <w:qFormat/>
    <w:uiPriority w:val="0"/>
    <w:rPr>
      <w:rFonts w:ascii="Arial" w:hAnsi="Arial" w:eastAsia="黑体"/>
      <w:b/>
      <w:sz w:val="24"/>
    </w:rPr>
  </w:style>
  <w:style w:type="character" w:customStyle="1" w:styleId="65">
    <w:name w:val="标题 7 字符"/>
    <w:link w:val="11"/>
    <w:qFormat/>
    <w:uiPriority w:val="0"/>
    <w:rPr>
      <w:b/>
      <w:sz w:val="24"/>
    </w:rPr>
  </w:style>
  <w:style w:type="character" w:customStyle="1" w:styleId="66">
    <w:name w:val="标题 8 字符"/>
    <w:link w:val="12"/>
    <w:qFormat/>
    <w:uiPriority w:val="0"/>
    <w:rPr>
      <w:rFonts w:ascii="Arial" w:hAnsi="Arial" w:eastAsia="黑体"/>
      <w:sz w:val="24"/>
    </w:rPr>
  </w:style>
  <w:style w:type="character" w:customStyle="1" w:styleId="67">
    <w:name w:val="标题 9 字符"/>
    <w:link w:val="13"/>
    <w:qFormat/>
    <w:uiPriority w:val="0"/>
    <w:rPr>
      <w:rFonts w:ascii="Arial" w:hAnsi="Arial" w:eastAsia="黑体"/>
      <w:sz w:val="21"/>
    </w:rPr>
  </w:style>
  <w:style w:type="character" w:customStyle="1" w:styleId="68">
    <w:name w:val="文档结构图 字符"/>
    <w:link w:val="17"/>
    <w:qFormat/>
    <w:uiPriority w:val="0"/>
    <w:rPr>
      <w:kern w:val="2"/>
      <w:sz w:val="21"/>
      <w:szCs w:val="24"/>
      <w:shd w:val="clear" w:color="auto" w:fill="000080"/>
    </w:rPr>
  </w:style>
  <w:style w:type="character" w:customStyle="1" w:styleId="69">
    <w:name w:val="批注文字 字符1"/>
    <w:link w:val="18"/>
    <w:qFormat/>
    <w:uiPriority w:val="99"/>
    <w:rPr>
      <w:kern w:val="2"/>
      <w:sz w:val="21"/>
      <w:szCs w:val="24"/>
    </w:rPr>
  </w:style>
  <w:style w:type="character" w:customStyle="1" w:styleId="70">
    <w:name w:val="正文文本 3 字符"/>
    <w:link w:val="19"/>
    <w:qFormat/>
    <w:uiPriority w:val="0"/>
    <w:rPr>
      <w:kern w:val="2"/>
      <w:sz w:val="16"/>
      <w:szCs w:val="16"/>
    </w:rPr>
  </w:style>
  <w:style w:type="character" w:customStyle="1" w:styleId="71">
    <w:name w:val="正文文本 字符"/>
    <w:link w:val="20"/>
    <w:qFormat/>
    <w:uiPriority w:val="0"/>
    <w:rPr>
      <w:rFonts w:ascii="宋体" w:hAnsi="宋体"/>
      <w:kern w:val="2"/>
      <w:sz w:val="24"/>
      <w:szCs w:val="24"/>
    </w:rPr>
  </w:style>
  <w:style w:type="character" w:customStyle="1" w:styleId="72">
    <w:name w:val="正文文本缩进 字符"/>
    <w:link w:val="6"/>
    <w:qFormat/>
    <w:uiPriority w:val="0"/>
    <w:rPr>
      <w:rFonts w:eastAsia="宋体"/>
      <w:kern w:val="2"/>
      <w:sz w:val="24"/>
      <w:szCs w:val="24"/>
      <w:lang w:val="en-US" w:eastAsia="zh-CN" w:bidi="ar-SA"/>
    </w:rPr>
  </w:style>
  <w:style w:type="character" w:customStyle="1" w:styleId="73">
    <w:name w:val="纯文本 字符2"/>
    <w:link w:val="25"/>
    <w:qFormat/>
    <w:uiPriority w:val="0"/>
    <w:rPr>
      <w:rFonts w:hint="eastAsia" w:ascii="宋体" w:hAnsi="Courier New" w:eastAsia="宋体" w:cs="宋体"/>
      <w:kern w:val="2"/>
      <w:sz w:val="21"/>
    </w:rPr>
  </w:style>
  <w:style w:type="character" w:customStyle="1" w:styleId="74">
    <w:name w:val="日期 字符"/>
    <w:link w:val="27"/>
    <w:qFormat/>
    <w:uiPriority w:val="0"/>
    <w:rPr>
      <w:rFonts w:ascii="仿宋_GB2312" w:hAnsi="宋体" w:eastAsia="仿宋_GB2312"/>
      <w:color w:val="000000"/>
      <w:kern w:val="2"/>
      <w:sz w:val="24"/>
      <w:szCs w:val="24"/>
    </w:rPr>
  </w:style>
  <w:style w:type="character" w:customStyle="1" w:styleId="75">
    <w:name w:val="正文文本缩进 2 字符"/>
    <w:link w:val="28"/>
    <w:qFormat/>
    <w:uiPriority w:val="0"/>
    <w:rPr>
      <w:rFonts w:ascii="仿宋_GB2312" w:eastAsia="仿宋_GB2312"/>
      <w:kern w:val="2"/>
      <w:sz w:val="24"/>
      <w:szCs w:val="24"/>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rFonts w:ascii="宋体" w:eastAsia="宋体"/>
      <w:sz w:val="18"/>
      <w:lang w:val="en-US" w:eastAsia="zh-CN" w:bidi="ar-SA"/>
    </w:rPr>
  </w:style>
  <w:style w:type="character" w:customStyle="1" w:styleId="78">
    <w:name w:val="页眉 字符"/>
    <w:link w:val="32"/>
    <w:qFormat/>
    <w:uiPriority w:val="0"/>
    <w:rPr>
      <w:rFonts w:eastAsia="宋体"/>
      <w:kern w:val="2"/>
      <w:sz w:val="18"/>
      <w:szCs w:val="18"/>
      <w:lang w:val="en-US" w:eastAsia="zh-CN" w:bidi="ar-SA"/>
    </w:rPr>
  </w:style>
  <w:style w:type="character" w:customStyle="1" w:styleId="79">
    <w:name w:val="正文文本缩进 3 字符"/>
    <w:link w:val="38"/>
    <w:qFormat/>
    <w:uiPriority w:val="0"/>
    <w:rPr>
      <w:rFonts w:ascii="宋体"/>
      <w:sz w:val="24"/>
    </w:rPr>
  </w:style>
  <w:style w:type="character" w:customStyle="1" w:styleId="80">
    <w:name w:val="HTML 预设格式 字符"/>
    <w:link w:val="41"/>
    <w:qFormat/>
    <w:uiPriority w:val="0"/>
    <w:rPr>
      <w:rFonts w:ascii="宋体" w:hAnsi="宋体" w:cs="宋体"/>
      <w:sz w:val="24"/>
      <w:szCs w:val="24"/>
    </w:rPr>
  </w:style>
  <w:style w:type="character" w:customStyle="1" w:styleId="81">
    <w:name w:val="标题 字符"/>
    <w:link w:val="44"/>
    <w:qFormat/>
    <w:uiPriority w:val="0"/>
    <w:rPr>
      <w:b/>
      <w:kern w:val="2"/>
      <w:sz w:val="32"/>
    </w:rPr>
  </w:style>
  <w:style w:type="character" w:customStyle="1" w:styleId="82">
    <w:name w:val="批注主题 字符"/>
    <w:link w:val="45"/>
    <w:qFormat/>
    <w:uiPriority w:val="0"/>
    <w:rPr>
      <w:rFonts w:ascii="Times New Roman" w:hAnsi="Times New Roman" w:eastAsia="宋体" w:cs="Times New Roman"/>
      <w:b/>
      <w:bCs/>
      <w:kern w:val="2"/>
      <w:sz w:val="21"/>
      <w:szCs w:val="24"/>
      <w:lang w:val="en-US" w:eastAsia="zh-CN" w:bidi="ar-SA"/>
    </w:rPr>
  </w:style>
  <w:style w:type="character" w:customStyle="1" w:styleId="83">
    <w:name w:val="批注文字 字符"/>
    <w:qFormat/>
    <w:uiPriority w:val="99"/>
    <w:rPr>
      <w:rFonts w:ascii="Times New Roman" w:hAnsi="Times New Roman" w:eastAsia="宋体" w:cs="Times New Roman"/>
      <w:sz w:val="24"/>
      <w:lang w:val="en-US" w:eastAsia="zh-CN" w:bidi="ar-SA"/>
    </w:rPr>
  </w:style>
  <w:style w:type="character" w:customStyle="1" w:styleId="84">
    <w:name w:val="正文首行缩进 2 字符"/>
    <w:link w:val="5"/>
    <w:qFormat/>
    <w:uiPriority w:val="0"/>
    <w:rPr>
      <w:rFonts w:eastAsia="宋体"/>
      <w:kern w:val="2"/>
      <w:sz w:val="24"/>
      <w:szCs w:val="24"/>
      <w:lang w:val="en-US" w:eastAsia="zh-CN" w:bidi="ar-SA"/>
    </w:rPr>
  </w:style>
  <w:style w:type="character" w:customStyle="1" w:styleId="85">
    <w:name w:val="Char Char111"/>
    <w:qFormat/>
    <w:uiPriority w:val="0"/>
    <w:rPr>
      <w:rFonts w:ascii="宋体" w:eastAsia="宋体"/>
      <w:b/>
      <w:sz w:val="24"/>
      <w:u w:val="single"/>
      <w:lang w:val="en-US" w:eastAsia="zh-CN" w:bidi="ar-SA"/>
    </w:rPr>
  </w:style>
  <w:style w:type="character" w:customStyle="1" w:styleId="86">
    <w:name w:val="bjh-p"/>
    <w:qFormat/>
    <w:uiPriority w:val="0"/>
  </w:style>
  <w:style w:type="character" w:customStyle="1" w:styleId="87">
    <w:name w:val="纯文本 字符"/>
    <w:qFormat/>
    <w:uiPriority w:val="99"/>
    <w:rPr>
      <w:rFonts w:ascii="宋体" w:hAnsi="Courier New" w:eastAsia="宋体" w:cs="Times New Roman"/>
      <w:kern w:val="2"/>
      <w:sz w:val="21"/>
      <w:szCs w:val="21"/>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Char Char11"/>
    <w:qFormat/>
    <w:uiPriority w:val="0"/>
    <w:rPr>
      <w:rFonts w:ascii="宋体" w:eastAsia="宋体"/>
      <w:b/>
      <w:sz w:val="24"/>
      <w:u w:val="single"/>
      <w:lang w:val="en-US" w:eastAsia="zh-CN" w:bidi="ar-SA"/>
    </w:rPr>
  </w:style>
  <w:style w:type="character" w:customStyle="1" w:styleId="91">
    <w:name w:val="chanpin1"/>
    <w:qFormat/>
    <w:uiPriority w:val="0"/>
    <w:rPr>
      <w:rFonts w:hint="default" w:ascii="ˎ̥" w:hAnsi="ˎ̥"/>
      <w:color w:val="000000"/>
      <w:sz w:val="20"/>
      <w:szCs w:val="20"/>
      <w:u w:val="none"/>
    </w:rPr>
  </w:style>
  <w:style w:type="character" w:customStyle="1" w:styleId="92">
    <w:name w:val="标题 Char"/>
    <w:qFormat/>
    <w:uiPriority w:val="0"/>
    <w:rPr>
      <w:b/>
      <w:kern w:val="2"/>
      <w:sz w:val="32"/>
    </w:rPr>
  </w:style>
  <w:style w:type="character" w:customStyle="1" w:styleId="93">
    <w:name w:val="段1 Char"/>
    <w:qFormat/>
    <w:uiPriority w:val="0"/>
    <w:rPr>
      <w:rFonts w:ascii="宋体" w:eastAsia="宋体"/>
      <w:sz w:val="24"/>
      <w:lang w:val="en-US" w:eastAsia="zh-CN" w:bidi="ar-SA"/>
    </w:rPr>
  </w:style>
  <w:style w:type="character" w:customStyle="1" w:styleId="94">
    <w:name w:val="页脚 Char"/>
    <w:qFormat/>
    <w:uiPriority w:val="0"/>
    <w:rPr>
      <w:rFonts w:ascii="宋体" w:eastAsia="宋体"/>
      <w:sz w:val="18"/>
      <w:lang w:val="en-US" w:eastAsia="zh-CN" w:bidi="ar-SA"/>
    </w:rPr>
  </w:style>
  <w:style w:type="character" w:customStyle="1" w:styleId="95">
    <w:name w:val="c21"/>
    <w:qFormat/>
    <w:uiPriority w:val="0"/>
    <w:rPr>
      <w:rFonts w:hint="default" w:ascii="ˎ̥" w:hAnsi="ˎ̥"/>
      <w:color w:val="000000"/>
      <w:sz w:val="20"/>
      <w:szCs w:val="20"/>
      <w:u w:val="none"/>
    </w:rPr>
  </w:style>
  <w:style w:type="character" w:customStyle="1" w:styleId="96">
    <w:name w:val="标题 3 Char"/>
    <w:qFormat/>
    <w:uiPriority w:val="0"/>
    <w:rPr>
      <w:rFonts w:ascii="宋体" w:eastAsia="宋体"/>
      <w:b/>
      <w:sz w:val="24"/>
      <w:u w:val="single"/>
      <w:lang w:val="en-US" w:eastAsia="zh-CN" w:bidi="ar-SA"/>
    </w:rPr>
  </w:style>
  <w:style w:type="character" w:customStyle="1" w:styleId="97">
    <w:name w:val="正文大标题 Char"/>
    <w:link w:val="98"/>
    <w:qFormat/>
    <w:uiPriority w:val="0"/>
    <w:rPr>
      <w:rFonts w:ascii="宋体" w:hAnsi="宋体"/>
      <w:b/>
      <w:color w:val="000000"/>
      <w:kern w:val="2"/>
      <w:sz w:val="28"/>
      <w:szCs w:val="21"/>
    </w:rPr>
  </w:style>
  <w:style w:type="paragraph" w:customStyle="1" w:styleId="98">
    <w:name w:val="正文大标题"/>
    <w:basedOn w:val="99"/>
    <w:next w:val="4"/>
    <w:link w:val="97"/>
    <w:qFormat/>
    <w:uiPriority w:val="0"/>
    <w:pPr>
      <w:jc w:val="center"/>
    </w:pPr>
    <w:rPr>
      <w:i w:val="0"/>
      <w:color w:val="000000"/>
      <w:sz w:val="28"/>
      <w:szCs w:val="21"/>
    </w:rPr>
  </w:style>
  <w:style w:type="paragraph" w:customStyle="1" w:styleId="99">
    <w:name w:val="正文小标题"/>
    <w:basedOn w:val="1"/>
    <w:next w:val="4"/>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b/>
      <w:i/>
      <w:color w:val="FF0000"/>
      <w:kern w:val="2"/>
      <w:sz w:val="24"/>
    </w:rPr>
  </w:style>
  <w:style w:type="character" w:customStyle="1" w:styleId="101">
    <w:name w:val="正文格式 Char"/>
    <w:link w:val="102"/>
    <w:qFormat/>
    <w:locked/>
    <w:uiPriority w:val="0"/>
    <w:rPr>
      <w:rFonts w:ascii="宋体" w:hAnsi="宋体"/>
      <w:sz w:val="24"/>
      <w:szCs w:val="24"/>
      <w:lang w:val="en-GB"/>
    </w:rPr>
  </w:style>
  <w:style w:type="paragraph" w:customStyle="1" w:styleId="102">
    <w:name w:val="正文格式"/>
    <w:basedOn w:val="1"/>
    <w:link w:val="101"/>
    <w:qFormat/>
    <w:uiPriority w:val="0"/>
    <w:pPr>
      <w:spacing w:beforeLines="50" w:line="360" w:lineRule="auto"/>
      <w:ind w:firstLine="480" w:firstLineChars="200"/>
    </w:pPr>
    <w:rPr>
      <w:rFonts w:ascii="宋体" w:hAnsi="宋体"/>
      <w:kern w:val="0"/>
      <w:sz w:val="24"/>
      <w:lang w:val="en-GB"/>
    </w:rPr>
  </w:style>
  <w:style w:type="character" w:customStyle="1" w:styleId="103">
    <w:name w:val="中等深浅网格 1 - 强调文字颜色 2 Char"/>
    <w:link w:val="104"/>
    <w:qFormat/>
    <w:uiPriority w:val="0"/>
    <w:rPr>
      <w:kern w:val="2"/>
      <w:sz w:val="21"/>
      <w:szCs w:val="24"/>
      <w:lang w:val="zh-CN" w:eastAsia="zh-CN" w:bidi="ar-SA"/>
    </w:rPr>
  </w:style>
  <w:style w:type="paragraph" w:customStyle="1" w:styleId="104">
    <w:name w:val="1"/>
    <w:link w:val="103"/>
    <w:qFormat/>
    <w:uiPriority w:val="0"/>
    <w:rPr>
      <w:rFonts w:ascii="Times New Roman" w:hAnsi="Times New Roman" w:eastAsia="宋体" w:cs="Times New Roman"/>
      <w:kern w:val="2"/>
      <w:sz w:val="21"/>
      <w:szCs w:val="24"/>
      <w:lang w:val="zh-CN" w:eastAsia="zh-CN" w:bidi="ar-SA"/>
    </w:rPr>
  </w:style>
  <w:style w:type="character" w:customStyle="1" w:styleId="105">
    <w:name w:val="locality"/>
    <w:qFormat/>
    <w:uiPriority w:val="0"/>
  </w:style>
  <w:style w:type="character" w:customStyle="1" w:styleId="106">
    <w:name w:val="批注文字 Char"/>
    <w:qFormat/>
    <w:uiPriority w:val="99"/>
    <w:rPr>
      <w:kern w:val="2"/>
      <w:sz w:val="21"/>
      <w:szCs w:val="24"/>
    </w:rPr>
  </w:style>
  <w:style w:type="character" w:customStyle="1" w:styleId="107">
    <w:name w:val="正文表格 Char"/>
    <w:link w:val="108"/>
    <w:qFormat/>
    <w:uiPriority w:val="0"/>
    <w:rPr>
      <w:rFonts w:ascii="宋体" w:hAnsi="宋体"/>
      <w:color w:val="000000"/>
      <w:kern w:val="2"/>
      <w:sz w:val="21"/>
      <w:szCs w:val="21"/>
    </w:rPr>
  </w:style>
  <w:style w:type="paragraph" w:customStyle="1" w:styleId="108">
    <w:name w:val="正文表格"/>
    <w:basedOn w:val="1"/>
    <w:link w:val="107"/>
    <w:qFormat/>
    <w:uiPriority w:val="0"/>
    <w:pPr>
      <w:adjustRightInd w:val="0"/>
      <w:snapToGrid w:val="0"/>
      <w:jc w:val="left"/>
    </w:pPr>
    <w:rPr>
      <w:rFonts w:ascii="宋体" w:hAnsi="宋体"/>
      <w:color w:val="000000"/>
      <w:szCs w:val="21"/>
    </w:rPr>
  </w:style>
  <w:style w:type="character" w:customStyle="1" w:styleId="109">
    <w:name w:val="纯文本 字符1"/>
    <w:qFormat/>
    <w:uiPriority w:val="0"/>
    <w:rPr>
      <w:rFonts w:ascii="宋体" w:hAnsi="Courier New"/>
    </w:rPr>
  </w:style>
  <w:style w:type="character" w:customStyle="1" w:styleId="110">
    <w:name w:val="纯文本 Char1"/>
    <w:qFormat/>
    <w:uiPriority w:val="0"/>
    <w:rPr>
      <w:rFonts w:ascii="宋体" w:hAnsi="Courier New" w:eastAsia="宋体"/>
      <w:kern w:val="2"/>
      <w:sz w:val="21"/>
      <w:lang w:val="en-US" w:eastAsia="zh-CN" w:bidi="ar-SA"/>
    </w:rPr>
  </w:style>
  <w:style w:type="character" w:customStyle="1" w:styleId="111">
    <w:name w:val="street-address"/>
    <w:qFormat/>
    <w:uiPriority w:val="0"/>
  </w:style>
  <w:style w:type="character" w:customStyle="1" w:styleId="112">
    <w:name w:val="列出段落 字符"/>
    <w:link w:val="113"/>
    <w:qFormat/>
    <w:uiPriority w:val="34"/>
    <w:rPr>
      <w:rFonts w:ascii="Calibri" w:hAnsi="Calibri" w:eastAsia="宋体"/>
      <w:kern w:val="2"/>
      <w:sz w:val="21"/>
      <w:szCs w:val="22"/>
      <w:lang w:val="en-US" w:eastAsia="zh-CN" w:bidi="ar-SA"/>
    </w:rPr>
  </w:style>
  <w:style w:type="paragraph" w:styleId="113">
    <w:name w:val="List Paragraph"/>
    <w:basedOn w:val="1"/>
    <w:link w:val="112"/>
    <w:qFormat/>
    <w:uiPriority w:val="34"/>
    <w:pPr>
      <w:ind w:firstLine="420" w:firstLineChars="200"/>
    </w:pPr>
    <w:rPr>
      <w:rFonts w:ascii="Calibri" w:hAnsi="Calibri"/>
      <w:szCs w:val="22"/>
    </w:rPr>
  </w:style>
  <w:style w:type="character" w:customStyle="1" w:styleId="114">
    <w:name w:val="txt"/>
    <w:qFormat/>
    <w:uiPriority w:val="0"/>
  </w:style>
  <w:style w:type="character" w:customStyle="1" w:styleId="115">
    <w:name w:val="列出段落 Char"/>
    <w:qFormat/>
    <w:uiPriority w:val="0"/>
    <w:rPr>
      <w:rFonts w:ascii="Calibri" w:hAnsi="Calibri" w:eastAsia="宋体"/>
      <w:kern w:val="2"/>
      <w:sz w:val="21"/>
      <w:szCs w:val="22"/>
      <w:lang w:val="en-US" w:eastAsia="zh-CN" w:bidi="ar-SA"/>
    </w:rPr>
  </w:style>
  <w:style w:type="character" w:customStyle="1" w:styleId="116">
    <w:name w:val="black1"/>
    <w:qFormat/>
    <w:uiPriority w:val="0"/>
    <w:rPr>
      <w:color w:val="000000"/>
    </w:rPr>
  </w:style>
  <w:style w:type="character" w:customStyle="1" w:styleId="117">
    <w:name w:val="正文文本缩进 Char"/>
    <w:qFormat/>
    <w:uiPriority w:val="0"/>
    <w:rPr>
      <w:rFonts w:eastAsia="宋体"/>
      <w:kern w:val="2"/>
      <w:sz w:val="24"/>
      <w:szCs w:val="24"/>
      <w:lang w:val="en-US" w:eastAsia="zh-CN" w:bidi="ar-SA"/>
    </w:rPr>
  </w:style>
  <w:style w:type="character" w:customStyle="1" w:styleId="118">
    <w:name w:val="正文缩进 Char Char"/>
    <w:link w:val="119"/>
    <w:qFormat/>
    <w:uiPriority w:val="0"/>
    <w:rPr>
      <w:rFonts w:ascii="宋体" w:eastAsia="宋体"/>
      <w:snapToGrid w:val="0"/>
      <w:color w:val="000000"/>
      <w:kern w:val="28"/>
      <w:sz w:val="28"/>
      <w:lang w:bidi="ar-SA"/>
    </w:rPr>
  </w:style>
  <w:style w:type="paragraph" w:customStyle="1" w:styleId="119">
    <w:name w:val="正文缩进1"/>
    <w:basedOn w:val="1"/>
    <w:link w:val="11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0">
    <w:name w:val="标题 2 Char Char"/>
    <w:qFormat/>
    <w:uiPriority w:val="0"/>
    <w:rPr>
      <w:rFonts w:ascii="Arial" w:hAnsi="Arial" w:eastAsia="黑体"/>
      <w:b/>
      <w:bCs/>
      <w:kern w:val="2"/>
      <w:sz w:val="32"/>
      <w:szCs w:val="32"/>
      <w:lang w:val="en-US" w:eastAsia="zh-CN" w:bidi="ar-SA"/>
    </w:rPr>
  </w:style>
  <w:style w:type="character" w:customStyle="1" w:styleId="121">
    <w:name w:val="正文缩进 Char"/>
    <w:qFormat/>
    <w:uiPriority w:val="0"/>
    <w:rPr>
      <w:rFonts w:ascii="宋体" w:eastAsia="宋体"/>
      <w:kern w:val="2"/>
      <w:sz w:val="24"/>
      <w:szCs w:val="24"/>
      <w:lang w:val="en-US" w:eastAsia="zh-CN" w:bidi="ar-SA"/>
    </w:rPr>
  </w:style>
  <w:style w:type="character" w:customStyle="1" w:styleId="122">
    <w:name w:val="普通文字1 Char1"/>
    <w:qFormat/>
    <w:uiPriority w:val="0"/>
    <w:rPr>
      <w:rFonts w:ascii="宋体" w:hAnsi="Courier New" w:eastAsia="宋体"/>
      <w:kern w:val="2"/>
      <w:sz w:val="21"/>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注释 Char"/>
    <w:link w:val="125"/>
    <w:qFormat/>
    <w:uiPriority w:val="0"/>
    <w:rPr>
      <w:rFonts w:ascii="宋体" w:hAnsi="宋体"/>
      <w:kern w:val="2"/>
      <w:sz w:val="21"/>
      <w:szCs w:val="21"/>
    </w:rPr>
  </w:style>
  <w:style w:type="paragraph" w:customStyle="1" w:styleId="125">
    <w:name w:val="注释"/>
    <w:basedOn w:val="1"/>
    <w:link w:val="124"/>
    <w:qFormat/>
    <w:uiPriority w:val="0"/>
    <w:pPr>
      <w:adjustRightInd w:val="0"/>
      <w:snapToGrid w:val="0"/>
      <w:ind w:left="420" w:hanging="420" w:hangingChars="200"/>
      <w:jc w:val="left"/>
    </w:pPr>
    <w:rPr>
      <w:rFonts w:ascii="宋体" w:hAnsi="宋体"/>
      <w:szCs w:val="21"/>
    </w:rPr>
  </w:style>
  <w:style w:type="character" w:customStyle="1" w:styleId="126">
    <w:name w:val="成文日期 Char"/>
    <w:link w:val="127"/>
    <w:qFormat/>
    <w:uiPriority w:val="0"/>
    <w:rPr>
      <w:rFonts w:ascii="仿宋_GB2312" w:eastAsia="仿宋_GB2312"/>
      <w:kern w:val="2"/>
      <w:sz w:val="32"/>
    </w:rPr>
  </w:style>
  <w:style w:type="paragraph" w:customStyle="1" w:styleId="127">
    <w:name w:val="成文日期"/>
    <w:basedOn w:val="1"/>
    <w:link w:val="126"/>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8">
    <w:name w:val="apple-style-span"/>
    <w:qFormat/>
    <w:uiPriority w:val="0"/>
    <w:rPr>
      <w:rFonts w:cs="Times New Roman"/>
    </w:rPr>
  </w:style>
  <w:style w:type="character" w:customStyle="1" w:styleId="129">
    <w:name w:val="title4"/>
    <w:qFormat/>
    <w:uiPriority w:val="0"/>
    <w:rPr>
      <w:b/>
      <w:bCs/>
      <w:color w:val="1D87B3"/>
      <w:sz w:val="15"/>
      <w:szCs w:val="15"/>
    </w:rPr>
  </w:style>
  <w:style w:type="character" w:customStyle="1" w:styleId="130">
    <w:name w:val="标题 2 Char"/>
    <w:qFormat/>
    <w:uiPriority w:val="0"/>
    <w:rPr>
      <w:rFonts w:ascii="Arial" w:hAnsi="Arial" w:eastAsia="黑体"/>
      <w:b/>
      <w:sz w:val="30"/>
      <w:lang w:val="en-US" w:eastAsia="zh-CN" w:bidi="ar-SA"/>
    </w:rPr>
  </w:style>
  <w:style w:type="character" w:customStyle="1" w:styleId="131">
    <w:name w:val="标题 3 Char Char"/>
    <w:qFormat/>
    <w:uiPriority w:val="0"/>
    <w:rPr>
      <w:rFonts w:eastAsia="宋体"/>
      <w:b/>
      <w:bCs/>
      <w:kern w:val="2"/>
      <w:sz w:val="32"/>
      <w:szCs w:val="32"/>
      <w:lang w:val="en-US" w:eastAsia="zh-CN" w:bidi="ar-SA"/>
    </w:rPr>
  </w:style>
  <w:style w:type="character" w:customStyle="1" w:styleId="132">
    <w:name w:val="正文文本缩进 Char1"/>
    <w:link w:val="133"/>
    <w:qFormat/>
    <w:uiPriority w:val="0"/>
    <w:rPr>
      <w:rFonts w:ascii="宋体" w:hAnsi="宋体" w:eastAsia="宋体"/>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npin拷贝"/>
    <w:qFormat/>
    <w:uiPriority w:val="0"/>
  </w:style>
  <w:style w:type="paragraph" w:customStyle="1" w:styleId="135">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6">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纯文本1"/>
    <w:next w:val="34"/>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0">
    <w:name w:val="修订1"/>
    <w:qFormat/>
    <w:uiPriority w:val="0"/>
    <w:rPr>
      <w:rFonts w:ascii="Times New Roman" w:hAnsi="Times New Roman" w:eastAsia="宋体" w:cs="Times New Roman"/>
      <w:kern w:val="2"/>
      <w:sz w:val="21"/>
      <w:szCs w:val="24"/>
      <w:lang w:val="en-US" w:eastAsia="zh-CN" w:bidi="ar-SA"/>
    </w:rPr>
  </w:style>
  <w:style w:type="paragraph" w:customStyle="1" w:styleId="141">
    <w:name w:val="二级条标题"/>
    <w:basedOn w:val="14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2">
    <w:name w:val="一级条标题"/>
    <w:basedOn w:val="143"/>
    <w:next w:val="1"/>
    <w:qFormat/>
    <w:uiPriority w:val="0"/>
    <w:pPr>
      <w:numPr>
        <w:ilvl w:val="1"/>
      </w:numPr>
      <w:tabs>
        <w:tab w:val="left" w:pos="360"/>
        <w:tab w:val="left" w:pos="840"/>
      </w:tabs>
      <w:ind w:left="0" w:hanging="840"/>
      <w:outlineLvl w:val="1"/>
    </w:pPr>
  </w:style>
  <w:style w:type="paragraph" w:customStyle="1" w:styleId="143">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5">
    <w:name w:val="Char Char Char1 Char"/>
    <w:basedOn w:val="1"/>
    <w:qFormat/>
    <w:uiPriority w:val="0"/>
    <w:rPr>
      <w:rFonts w:ascii="Tahoma" w:hAnsi="Tahoma"/>
      <w:sz w:val="24"/>
      <w:szCs w:val="20"/>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8">
    <w:name w:val="Char2 Char Char Char Char Char Char"/>
    <w:basedOn w:val="1"/>
    <w:qFormat/>
    <w:uiPriority w:val="0"/>
    <w:pPr>
      <w:widowControl/>
      <w:spacing w:line="400" w:lineRule="exact"/>
      <w:jc w:val="center"/>
    </w:pPr>
  </w:style>
  <w:style w:type="paragraph" w:customStyle="1" w:styleId="149">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1 Char Char Char Char"/>
    <w:basedOn w:val="1"/>
    <w:qFormat/>
    <w:uiPriority w:val="0"/>
    <w:rPr>
      <w:rFonts w:ascii="Tahoma" w:hAnsi="Tahoma"/>
      <w:sz w:val="24"/>
      <w:szCs w:val="20"/>
    </w:rPr>
  </w:style>
  <w:style w:type="paragraph" w:customStyle="1" w:styleId="1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2">
    <w:name w:val="字元 字元"/>
    <w:basedOn w:val="1"/>
    <w:qFormat/>
    <w:uiPriority w:val="0"/>
    <w:rPr>
      <w:rFonts w:ascii="Tahoma" w:hAnsi="Tahoma"/>
      <w:sz w:val="24"/>
      <w:szCs w:val="20"/>
    </w:rPr>
  </w:style>
  <w:style w:type="paragraph" w:customStyle="1" w:styleId="15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5">
    <w:name w:val="字元 字元1"/>
    <w:basedOn w:val="1"/>
    <w:qFormat/>
    <w:uiPriority w:val="0"/>
    <w:rPr>
      <w:rFonts w:ascii="Tahoma" w:hAnsi="Tahoma"/>
      <w:sz w:val="24"/>
      <w:szCs w:val="20"/>
    </w:rPr>
  </w:style>
  <w:style w:type="paragraph" w:customStyle="1" w:styleId="156">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font8"/>
    <w:basedOn w:val="1"/>
    <w:qFormat/>
    <w:uiPriority w:val="0"/>
    <w:pPr>
      <w:widowControl/>
      <w:spacing w:before="100" w:beforeAutospacing="1" w:after="100" w:afterAutospacing="1"/>
      <w:jc w:val="left"/>
    </w:pPr>
    <w:rPr>
      <w:kern w:val="0"/>
      <w:sz w:val="36"/>
      <w:szCs w:val="36"/>
    </w:rPr>
  </w:style>
  <w:style w:type="paragraph" w:customStyle="1" w:styleId="159">
    <w:name w:val="Char Char41"/>
    <w:basedOn w:val="1"/>
    <w:qFormat/>
    <w:uiPriority w:val="0"/>
    <w:pPr>
      <w:widowControl/>
      <w:spacing w:line="400" w:lineRule="exact"/>
      <w:jc w:val="center"/>
    </w:pPr>
  </w:style>
  <w:style w:type="paragraph" w:customStyle="1" w:styleId="160">
    <w:name w:val="Char2"/>
    <w:basedOn w:val="1"/>
    <w:qFormat/>
    <w:uiPriority w:val="0"/>
    <w:rPr>
      <w:rFonts w:ascii="Tahoma" w:hAnsi="Tahoma"/>
      <w:sz w:val="24"/>
      <w:szCs w:val="20"/>
    </w:rPr>
  </w:style>
  <w:style w:type="paragraph" w:customStyle="1" w:styleId="161">
    <w:name w:val="正文文本样式 加粗"/>
    <w:basedOn w:val="162"/>
    <w:qFormat/>
    <w:uiPriority w:val="0"/>
    <w:rPr>
      <w:b/>
    </w:rPr>
  </w:style>
  <w:style w:type="paragraph" w:customStyle="1" w:styleId="162">
    <w:name w:val="正文文本样式"/>
    <w:basedOn w:val="1"/>
    <w:qFormat/>
    <w:uiPriority w:val="0"/>
    <w:pPr>
      <w:spacing w:line="360" w:lineRule="auto"/>
      <w:ind w:firstLine="482"/>
    </w:pPr>
    <w:rPr>
      <w:rFonts w:cs="宋体"/>
      <w:sz w:val="24"/>
      <w:szCs w:val="20"/>
    </w:rPr>
  </w:style>
  <w:style w:type="paragraph" w:customStyle="1" w:styleId="163">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5">
    <w:name w:val="_Style 15"/>
    <w:basedOn w:val="1"/>
    <w:next w:val="1"/>
    <w:qFormat/>
    <w:uiPriority w:val="0"/>
    <w:pPr>
      <w:spacing w:after="120"/>
      <w:ind w:left="420" w:leftChars="200" w:firstLine="420" w:firstLineChars="200"/>
    </w:pPr>
    <w:rPr>
      <w:szCs w:val="22"/>
    </w:rPr>
  </w:style>
  <w:style w:type="paragraph" w:customStyle="1" w:styleId="16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7">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8">
    <w:name w:val="标题1-附件"/>
    <w:basedOn w:val="2"/>
    <w:qFormat/>
    <w:uiPriority w:val="0"/>
    <w:pPr>
      <w:jc w:val="left"/>
    </w:pPr>
    <w:rPr>
      <w:sz w:val="24"/>
      <w:szCs w:val="24"/>
    </w:rPr>
  </w:style>
  <w:style w:type="paragraph" w:customStyle="1" w:styleId="169">
    <w:name w:val="Char3"/>
    <w:basedOn w:val="1"/>
    <w:qFormat/>
    <w:uiPriority w:val="0"/>
    <w:pPr>
      <w:tabs>
        <w:tab w:val="left" w:pos="360"/>
      </w:tabs>
    </w:pPr>
    <w:rPr>
      <w:sz w:val="24"/>
    </w:rPr>
  </w:style>
  <w:style w:type="paragraph" w:customStyle="1" w:styleId="17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4">
    <w:name w:val="Char Char Char1 Char2"/>
    <w:basedOn w:val="1"/>
    <w:qFormat/>
    <w:uiPriority w:val="0"/>
    <w:rPr>
      <w:rFonts w:ascii="Tahoma" w:hAnsi="Tahoma"/>
      <w:sz w:val="24"/>
      <w:szCs w:val="20"/>
    </w:rPr>
  </w:style>
  <w:style w:type="paragraph" w:customStyle="1" w:styleId="175">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6">
    <w:name w:val="1名"/>
    <w:basedOn w:val="1"/>
    <w:qFormat/>
    <w:uiPriority w:val="0"/>
    <w:pPr>
      <w:numPr>
        <w:ilvl w:val="0"/>
        <w:numId w:val="5"/>
      </w:numPr>
      <w:spacing w:before="120"/>
    </w:pPr>
    <w:rPr>
      <w:rFonts w:ascii="宋体"/>
      <w:sz w:val="28"/>
      <w:szCs w:val="20"/>
    </w:rPr>
  </w:style>
  <w:style w:type="paragraph" w:customStyle="1" w:styleId="1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8">
    <w:name w:val="表格1"/>
    <w:basedOn w:val="1"/>
    <w:qFormat/>
    <w:uiPriority w:val="0"/>
    <w:pPr>
      <w:ind w:firstLine="480" w:firstLineChars="200"/>
      <w:jc w:val="center"/>
    </w:pPr>
    <w:rPr>
      <w:sz w:val="24"/>
      <w:szCs w:val="20"/>
    </w:rPr>
  </w:style>
  <w:style w:type="paragraph" w:customStyle="1" w:styleId="179">
    <w:name w:val="字元 字元2"/>
    <w:basedOn w:val="1"/>
    <w:qFormat/>
    <w:uiPriority w:val="0"/>
    <w:rPr>
      <w:rFonts w:ascii="Tahoma" w:hAnsi="Tahoma"/>
      <w:sz w:val="24"/>
      <w:szCs w:val="20"/>
    </w:rPr>
  </w:style>
  <w:style w:type="paragraph" w:customStyle="1" w:styleId="180">
    <w:name w:val="文档正文"/>
    <w:basedOn w:val="1"/>
    <w:qFormat/>
    <w:uiPriority w:val="0"/>
    <w:pPr>
      <w:snapToGrid w:val="0"/>
      <w:spacing w:before="120" w:after="120" w:line="180" w:lineRule="auto"/>
    </w:pPr>
    <w:rPr>
      <w:rFonts w:ascii="Arial" w:hAnsi="Arial"/>
      <w:szCs w:val="20"/>
    </w:rPr>
  </w:style>
  <w:style w:type="paragraph" w:customStyle="1" w:styleId="18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1 Char Char Char1"/>
    <w:basedOn w:val="1"/>
    <w:qFormat/>
    <w:uiPriority w:val="0"/>
    <w:rPr>
      <w:rFonts w:ascii="Tahoma" w:hAnsi="Tahoma" w:cs="仿宋_GB2312"/>
      <w:sz w:val="24"/>
      <w:szCs w:val="28"/>
    </w:rPr>
  </w:style>
  <w:style w:type="paragraph" w:customStyle="1" w:styleId="185">
    <w:name w:val="图例"/>
    <w:basedOn w:val="1"/>
    <w:qFormat/>
    <w:uiPriority w:val="0"/>
    <w:pPr>
      <w:spacing w:before="120" w:after="120" w:line="360" w:lineRule="auto"/>
      <w:jc w:val="center"/>
    </w:pPr>
    <w:rPr>
      <w:rFonts w:eastAsia="仿宋_GB2312"/>
      <w:b/>
      <w:sz w:val="24"/>
      <w:szCs w:val="20"/>
    </w:rPr>
  </w:style>
  <w:style w:type="paragraph" w:customStyle="1" w:styleId="186">
    <w:name w:val="Char Char1"/>
    <w:basedOn w:val="17"/>
    <w:qFormat/>
    <w:uiPriority w:val="0"/>
    <w:rPr>
      <w:rFonts w:ascii="Tahoma" w:hAnsi="Tahoma"/>
      <w:sz w:val="24"/>
    </w:rPr>
  </w:style>
  <w:style w:type="paragraph" w:customStyle="1" w:styleId="18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89">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0">
    <w:name w:val="默认段落字体 Para Char Char Char Char"/>
    <w:basedOn w:val="1"/>
    <w:qFormat/>
    <w:uiPriority w:val="0"/>
    <w:rPr>
      <w:rFonts w:ascii="Arial" w:hAnsi="Arial" w:cs="Arial"/>
      <w:szCs w:val="21"/>
    </w:rPr>
  </w:style>
  <w:style w:type="paragraph" w:customStyle="1" w:styleId="19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5">
    <w:name w:val="Char Char4"/>
    <w:basedOn w:val="1"/>
    <w:qFormat/>
    <w:uiPriority w:val="0"/>
    <w:pPr>
      <w:widowControl/>
      <w:spacing w:line="400" w:lineRule="exact"/>
      <w:jc w:val="center"/>
    </w:pPr>
  </w:style>
  <w:style w:type="paragraph" w:customStyle="1" w:styleId="19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8">
    <w:name w:val="Char Char Char"/>
    <w:basedOn w:val="1"/>
    <w:qFormat/>
    <w:uiPriority w:val="0"/>
    <w:rPr>
      <w:rFonts w:ascii="Tahoma" w:hAnsi="Tahoma"/>
      <w:sz w:val="24"/>
      <w:szCs w:val="20"/>
    </w:rPr>
  </w:style>
  <w:style w:type="paragraph" w:customStyle="1" w:styleId="199">
    <w:name w:val="项目编号2"/>
    <w:basedOn w:val="163"/>
    <w:qFormat/>
    <w:uiPriority w:val="0"/>
    <w:pPr>
      <w:numPr>
        <w:numId w:val="6"/>
      </w:numPr>
    </w:pPr>
  </w:style>
  <w:style w:type="paragraph" w:customStyle="1" w:styleId="200">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3">
    <w:name w:val="Char Char Char2"/>
    <w:basedOn w:val="1"/>
    <w:qFormat/>
    <w:uiPriority w:val="0"/>
    <w:rPr>
      <w:rFonts w:ascii="Tahoma" w:hAnsi="Tahoma"/>
      <w:sz w:val="24"/>
      <w:szCs w:val="20"/>
    </w:rPr>
  </w:style>
  <w:style w:type="paragraph" w:customStyle="1" w:styleId="204">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列出段落2"/>
    <w:basedOn w:val="1"/>
    <w:qFormat/>
    <w:uiPriority w:val="0"/>
    <w:pPr>
      <w:ind w:firstLine="420" w:firstLineChars="200"/>
    </w:pPr>
    <w:rPr>
      <w:rFonts w:ascii="Calibri" w:hAnsi="Calibri"/>
      <w:szCs w:val="22"/>
    </w:rPr>
  </w:style>
  <w:style w:type="paragraph" w:customStyle="1" w:styleId="20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图中文字"/>
    <w:basedOn w:val="1"/>
    <w:qFormat/>
    <w:uiPriority w:val="0"/>
    <w:pPr>
      <w:adjustRightInd w:val="0"/>
      <w:snapToGrid w:val="0"/>
      <w:spacing w:line="0" w:lineRule="atLeast"/>
      <w:jc w:val="center"/>
    </w:pPr>
    <w:rPr>
      <w:sz w:val="24"/>
      <w:szCs w:val="20"/>
    </w:rPr>
  </w:style>
  <w:style w:type="paragraph" w:customStyle="1" w:styleId="20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0">
    <w:name w:val="正文 + 楷体_GB2312"/>
    <w:basedOn w:val="1"/>
    <w:qFormat/>
    <w:uiPriority w:val="0"/>
    <w:pPr>
      <w:widowControl/>
      <w:jc w:val="left"/>
    </w:pPr>
    <w:rPr>
      <w:rFonts w:ascii="楷体_GB2312" w:eastAsia="楷体_GB2312" w:cs="Arial"/>
      <w:kern w:val="0"/>
      <w:sz w:val="24"/>
    </w:rPr>
  </w:style>
  <w:style w:type="paragraph" w:customStyle="1" w:styleId="211">
    <w:name w:val="缺省文本"/>
    <w:basedOn w:val="1"/>
    <w:qFormat/>
    <w:uiPriority w:val="0"/>
    <w:pPr>
      <w:autoSpaceDE w:val="0"/>
      <w:autoSpaceDN w:val="0"/>
      <w:adjustRightInd w:val="0"/>
      <w:jc w:val="left"/>
    </w:pPr>
    <w:rPr>
      <w:kern w:val="0"/>
      <w:sz w:val="24"/>
    </w:rPr>
  </w:style>
  <w:style w:type="paragraph" w:customStyle="1" w:styleId="212">
    <w:name w:val="样式2"/>
    <w:basedOn w:val="43"/>
    <w:qFormat/>
    <w:uiPriority w:val="0"/>
    <w:pPr>
      <w:spacing w:line="360" w:lineRule="auto"/>
      <w:jc w:val="center"/>
    </w:pPr>
    <w:rPr>
      <w:sz w:val="24"/>
    </w:rPr>
  </w:style>
  <w:style w:type="paragraph" w:customStyle="1" w:styleId="213">
    <w:name w:val="_Style 11"/>
    <w:basedOn w:val="1"/>
    <w:next w:val="1"/>
    <w:qFormat/>
    <w:uiPriority w:val="0"/>
    <w:pPr>
      <w:spacing w:after="120"/>
      <w:ind w:left="420" w:leftChars="200" w:firstLine="420" w:firstLineChars="200"/>
    </w:pPr>
  </w:style>
  <w:style w:type="paragraph" w:customStyle="1" w:styleId="214">
    <w:name w:val="图文"/>
    <w:basedOn w:val="1"/>
    <w:qFormat/>
    <w:uiPriority w:val="0"/>
    <w:pPr>
      <w:adjustRightInd w:val="0"/>
      <w:snapToGrid w:val="0"/>
      <w:spacing w:after="50" w:line="360" w:lineRule="auto"/>
    </w:pPr>
    <w:rPr>
      <w:sz w:val="24"/>
    </w:rPr>
  </w:style>
  <w:style w:type="paragraph" w:customStyle="1" w:styleId="215">
    <w:name w:val="Char2 Char Char Char Char Char Char1"/>
    <w:basedOn w:val="1"/>
    <w:qFormat/>
    <w:uiPriority w:val="0"/>
    <w:pPr>
      <w:widowControl/>
      <w:spacing w:line="400" w:lineRule="exact"/>
      <w:jc w:val="center"/>
    </w:pPr>
  </w:style>
  <w:style w:type="paragraph" w:customStyle="1" w:styleId="216">
    <w:name w:val="Char Char Char Char Char Char Char Char Char Char1"/>
    <w:basedOn w:val="1"/>
    <w:qFormat/>
    <w:uiPriority w:val="0"/>
    <w:rPr>
      <w:rFonts w:ascii="宋体" w:hAnsi="宋体" w:cs="Courier New"/>
      <w:sz w:val="32"/>
      <w:szCs w:val="32"/>
    </w:rPr>
  </w:style>
  <w:style w:type="paragraph" w:customStyle="1" w:styleId="217">
    <w:name w:val="Char3 Char Char Char2"/>
    <w:basedOn w:val="1"/>
    <w:qFormat/>
    <w:uiPriority w:val="0"/>
    <w:rPr>
      <w:rFonts w:ascii="Tahoma" w:hAnsi="Tahoma"/>
      <w:sz w:val="24"/>
      <w:szCs w:val="20"/>
    </w:rPr>
  </w:style>
  <w:style w:type="paragraph" w:customStyle="1" w:styleId="218">
    <w:name w:val="Char1"/>
    <w:basedOn w:val="1"/>
    <w:qFormat/>
    <w:uiPriority w:val="0"/>
    <w:pPr>
      <w:tabs>
        <w:tab w:val="left" w:pos="360"/>
      </w:tabs>
    </w:pPr>
    <w:rPr>
      <w:sz w:val="24"/>
    </w:rPr>
  </w:style>
  <w:style w:type="paragraph" w:customStyle="1" w:styleId="219">
    <w:name w:val="Char Char Char1"/>
    <w:basedOn w:val="1"/>
    <w:qFormat/>
    <w:uiPriority w:val="0"/>
    <w:rPr>
      <w:rFonts w:ascii="Tahoma" w:hAnsi="Tahoma"/>
      <w:sz w:val="24"/>
      <w:szCs w:val="20"/>
    </w:rPr>
  </w:style>
  <w:style w:type="paragraph" w:customStyle="1" w:styleId="22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1">
    <w:name w:val="_Style 160"/>
    <w:qFormat/>
    <w:uiPriority w:val="0"/>
    <w:rPr>
      <w:rFonts w:ascii="Times New Roman" w:hAnsi="Times New Roman" w:eastAsia="宋体" w:cs="Times New Roman"/>
      <w:kern w:val="2"/>
      <w:sz w:val="21"/>
      <w:szCs w:val="24"/>
      <w:lang w:val="en-US" w:eastAsia="zh-CN" w:bidi="ar-SA"/>
    </w:rPr>
  </w:style>
  <w:style w:type="paragraph" w:customStyle="1" w:styleId="22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3">
    <w:name w:val="Char Char Char Char Char Char Char Char Char Char"/>
    <w:basedOn w:val="1"/>
    <w:qFormat/>
    <w:uiPriority w:val="0"/>
  </w:style>
  <w:style w:type="paragraph" w:customStyle="1" w:styleId="224">
    <w:name w:val="列出段落1"/>
    <w:basedOn w:val="1"/>
    <w:qFormat/>
    <w:uiPriority w:val="0"/>
    <w:pPr>
      <w:ind w:firstLine="420" w:firstLineChars="200"/>
    </w:pPr>
    <w:rPr>
      <w:rFonts w:ascii="Calibri" w:hAnsi="Calibri"/>
      <w:szCs w:val="22"/>
    </w:rPr>
  </w:style>
  <w:style w:type="paragraph" w:customStyle="1" w:styleId="22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三级条标题"/>
    <w:basedOn w:val="141"/>
    <w:next w:val="1"/>
    <w:qFormat/>
    <w:uiPriority w:val="0"/>
    <w:pPr>
      <w:numPr>
        <w:ilvl w:val="3"/>
        <w:numId w:val="3"/>
      </w:numPr>
      <w:ind w:left="0" w:hanging="840"/>
      <w:outlineLvl w:val="3"/>
    </w:pPr>
  </w:style>
  <w:style w:type="paragraph" w:customStyle="1" w:styleId="23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3">
    <w:name w:val="项目编号3"/>
    <w:basedOn w:val="162"/>
    <w:qFormat/>
    <w:uiPriority w:val="0"/>
    <w:pPr>
      <w:numPr>
        <w:ilvl w:val="0"/>
        <w:numId w:val="7"/>
      </w:numPr>
    </w:pPr>
  </w:style>
  <w:style w:type="paragraph" w:customStyle="1" w:styleId="234">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8">
    <w:name w:val="Char3 Char Char Char"/>
    <w:basedOn w:val="1"/>
    <w:qFormat/>
    <w:uiPriority w:val="0"/>
    <w:rPr>
      <w:rFonts w:ascii="Tahoma" w:hAnsi="Tahoma"/>
      <w:sz w:val="24"/>
      <w:szCs w:val="20"/>
    </w:rPr>
  </w:style>
  <w:style w:type="paragraph" w:customStyle="1" w:styleId="239">
    <w:name w:val="Char21"/>
    <w:basedOn w:val="1"/>
    <w:qFormat/>
    <w:uiPriority w:val="0"/>
    <w:rPr>
      <w:rFonts w:ascii="Tahoma" w:hAnsi="Tahoma"/>
      <w:sz w:val="24"/>
      <w:szCs w:val="20"/>
    </w:rPr>
  </w:style>
  <w:style w:type="paragraph" w:customStyle="1" w:styleId="240">
    <w:name w:val="List Paragraph1"/>
    <w:basedOn w:val="1"/>
    <w:qFormat/>
    <w:uiPriority w:val="0"/>
    <w:pPr>
      <w:ind w:firstLine="420" w:firstLineChars="200"/>
    </w:pPr>
    <w:rPr>
      <w:rFonts w:ascii="Calibri" w:hAnsi="Calibri"/>
      <w:szCs w:val="22"/>
    </w:rPr>
  </w:style>
  <w:style w:type="paragraph" w:customStyle="1" w:styleId="241">
    <w:name w:val="四级条标题"/>
    <w:basedOn w:val="230"/>
    <w:next w:val="1"/>
    <w:qFormat/>
    <w:uiPriority w:val="0"/>
    <w:pPr>
      <w:numPr>
        <w:ilvl w:val="4"/>
      </w:numPr>
      <w:ind w:left="0" w:hanging="840"/>
      <w:outlineLvl w:val="4"/>
    </w:p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Char Char Char1 Char1"/>
    <w:basedOn w:val="1"/>
    <w:qFormat/>
    <w:uiPriority w:val="0"/>
    <w:rPr>
      <w:rFonts w:ascii="Tahoma" w:hAnsi="Tahoma"/>
      <w:sz w:val="24"/>
      <w:szCs w:val="20"/>
    </w:rPr>
  </w:style>
  <w:style w:type="paragraph" w:customStyle="1" w:styleId="24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7">
    <w:name w:val="项目符号1"/>
    <w:basedOn w:val="162"/>
    <w:qFormat/>
    <w:uiPriority w:val="0"/>
    <w:pPr>
      <w:ind w:left="-25" w:firstLine="0"/>
    </w:p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1">
    <w:name w:val="Char22"/>
    <w:basedOn w:val="1"/>
    <w:qFormat/>
    <w:uiPriority w:val="0"/>
    <w:rPr>
      <w:rFonts w:ascii="Tahoma" w:hAnsi="Tahoma"/>
      <w:sz w:val="24"/>
      <w:szCs w:val="20"/>
    </w:rPr>
  </w:style>
  <w:style w:type="paragraph" w:customStyle="1" w:styleId="252">
    <w:name w:val="Char3 Char Char Char1"/>
    <w:basedOn w:val="1"/>
    <w:qFormat/>
    <w:uiPriority w:val="0"/>
    <w:rPr>
      <w:rFonts w:ascii="Tahoma" w:hAnsi="Tahoma"/>
      <w:sz w:val="24"/>
      <w:szCs w:val="20"/>
    </w:rPr>
  </w:style>
  <w:style w:type="paragraph" w:customStyle="1" w:styleId="253">
    <w:name w:val="五级条标题"/>
    <w:basedOn w:val="241"/>
    <w:next w:val="1"/>
    <w:qFormat/>
    <w:uiPriority w:val="0"/>
    <w:pPr>
      <w:numPr>
        <w:ilvl w:val="5"/>
      </w:numPr>
      <w:ind w:left="0" w:hanging="840"/>
      <w:outlineLvl w:val="5"/>
    </w:pPr>
  </w:style>
  <w:style w:type="paragraph" w:customStyle="1" w:styleId="254">
    <w:name w:val="表格文字"/>
    <w:basedOn w:val="6"/>
    <w:qFormat/>
    <w:uiPriority w:val="0"/>
    <w:pPr>
      <w:spacing w:before="20" w:after="20" w:line="240" w:lineRule="auto"/>
      <w:ind w:firstLine="0"/>
    </w:pPr>
    <w:rPr>
      <w:rFonts w:ascii="Century Gothic" w:hAnsi="Century Gothic"/>
      <w:sz w:val="20"/>
      <w:szCs w:val="20"/>
    </w:rPr>
  </w:style>
  <w:style w:type="paragraph" w:customStyle="1" w:styleId="25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7">
    <w:name w:val="一级无"/>
    <w:basedOn w:val="1"/>
    <w:qFormat/>
    <w:uiPriority w:val="0"/>
    <w:pPr>
      <w:widowControl/>
      <w:jc w:val="left"/>
      <w:outlineLvl w:val="2"/>
    </w:pPr>
    <w:rPr>
      <w:rFonts w:ascii="宋体"/>
      <w:kern w:val="0"/>
      <w:szCs w:val="21"/>
    </w:rPr>
  </w:style>
  <w:style w:type="paragraph" w:customStyle="1" w:styleId="258">
    <w:name w:val="Char"/>
    <w:basedOn w:val="1"/>
    <w:qFormat/>
    <w:uiPriority w:val="0"/>
    <w:pPr>
      <w:tabs>
        <w:tab w:val="left" w:pos="360"/>
      </w:tabs>
    </w:pPr>
    <w:rPr>
      <w:sz w:val="24"/>
    </w:rPr>
  </w:style>
  <w:style w:type="paragraph" w:customStyle="1" w:styleId="25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1">
    <w:name w:val="NormalCharacter"/>
    <w:qFormat/>
    <w:uiPriority w:val="0"/>
    <w:rPr>
      <w:rFonts w:ascii="Calibri" w:hAnsi="Calibri" w:eastAsia="宋体" w:cs="Times New Roman"/>
      <w:kern w:val="2"/>
      <w:sz w:val="21"/>
      <w:szCs w:val="22"/>
      <w:lang w:val="en-US" w:eastAsia="zh-CN" w:bidi="ar-SA"/>
    </w:rPr>
  </w:style>
  <w:style w:type="character" w:customStyle="1" w:styleId="262">
    <w:name w:val="font11"/>
    <w:qFormat/>
    <w:uiPriority w:val="0"/>
    <w:rPr>
      <w:rFonts w:hint="eastAsia" w:ascii="仿宋_GB2312" w:eastAsia="仿宋_GB2312" w:cs="仿宋_GB2312"/>
      <w:color w:val="000000"/>
      <w:sz w:val="24"/>
      <w:szCs w:val="24"/>
      <w:u w:val="none"/>
    </w:rPr>
  </w:style>
  <w:style w:type="paragraph" w:customStyle="1" w:styleId="263">
    <w:name w:val="表"/>
    <w:basedOn w:val="1"/>
    <w:qFormat/>
    <w:uiPriority w:val="0"/>
    <w:pPr>
      <w:jc w:val="center"/>
    </w:pPr>
    <w:rPr>
      <w:rFonts w:hint="eastAsia" w:cs="方正仿宋_GB2312"/>
      <w:sz w:val="24"/>
      <w:szCs w:val="22"/>
      <w:lang w:val="zh-CN" w:bidi="zh-CN"/>
    </w:rPr>
  </w:style>
  <w:style w:type="paragraph" w:customStyle="1" w:styleId="264">
    <w:name w:val="Table Text"/>
    <w:basedOn w:val="1"/>
    <w:semiHidden/>
    <w:qFormat/>
    <w:uiPriority w:val="0"/>
    <w:rPr>
      <w:rFonts w:ascii="Times New Roman" w:hAnsi="Times New Roman" w:eastAsia="Times New Roman" w:cs="Times New Roman"/>
      <w:sz w:val="24"/>
      <w:szCs w:val="24"/>
      <w:lang w:eastAsia="en-US"/>
    </w:rPr>
  </w:style>
  <w:style w:type="paragraph" w:customStyle="1" w:styleId="265">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15529</Words>
  <Characters>16163</Characters>
  <Lines>238</Lines>
  <Paragraphs>67</Paragraphs>
  <TotalTime>27</TotalTime>
  <ScaleCrop>false</ScaleCrop>
  <LinksUpToDate>false</LinksUpToDate>
  <CharactersWithSpaces>16445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尹皓</dc:creator>
  <cp:lastModifiedBy>SY</cp:lastModifiedBy>
  <cp:lastPrinted>2020-04-02T03:13:00Z</cp:lastPrinted>
  <dcterms:modified xsi:type="dcterms:W3CDTF">2025-11-18T05:46:32Z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3D2F5DD2B8BE4A80846859B10375ACE8_13</vt:lpwstr>
  </property>
  <property fmtid="{D5CDD505-2E9C-101B-9397-08002B2CF9AE}" pid="4" name="KSOTemplateDocerSaveRecord">
    <vt:lpwstr>eyJoZGlkIjoiZDI2OTIxZjNiZjQyM2RhZGE1NjdmY2MxYTljZDAzODcifQ==</vt:lpwstr>
  </property>
</Properties>
</file>